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shd w:val="clear" w:color="auto" w:fill="FFFFFF"/>
        <w:tblCellMar>
          <w:left w:w="0" w:type="dxa"/>
          <w:right w:w="0" w:type="dxa"/>
        </w:tblCellMar>
        <w:tblLook w:val="04A0"/>
      </w:tblPr>
      <w:tblGrid>
        <w:gridCol w:w="3348"/>
        <w:gridCol w:w="5940"/>
      </w:tblGrid>
      <w:tr w:rsidR="00F1032B" w:rsidRPr="00F1032B" w:rsidTr="00F1032B">
        <w:trPr>
          <w:tblCellSpacing w:w="0" w:type="dxa"/>
        </w:trPr>
        <w:tc>
          <w:tcPr>
            <w:tcW w:w="334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CHÍNH PHỦ</w:t>
            </w:r>
            <w:r w:rsidRPr="00F1032B">
              <w:rPr>
                <w:rFonts w:ascii="Times New Roman" w:eastAsia="Times New Roman" w:hAnsi="Times New Roman" w:cs="Times New Roman"/>
                <w:b/>
                <w:bCs/>
                <w:color w:val="000000"/>
                <w:sz w:val="26"/>
                <w:szCs w:val="26"/>
              </w:rPr>
              <w:br/>
              <w:t>-------</w:t>
            </w:r>
          </w:p>
        </w:tc>
        <w:tc>
          <w:tcPr>
            <w:tcW w:w="5940"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CỘNG HÒA XÃ HỘI CHỦ NGHĨA VIỆT NAM</w:t>
            </w:r>
            <w:r w:rsidRPr="00F1032B">
              <w:rPr>
                <w:rFonts w:ascii="Times New Roman" w:eastAsia="Times New Roman" w:hAnsi="Times New Roman" w:cs="Times New Roman"/>
                <w:b/>
                <w:bCs/>
                <w:color w:val="000000"/>
                <w:sz w:val="26"/>
                <w:szCs w:val="26"/>
              </w:rPr>
              <w:br/>
              <w:t>Độc lập - Tự do - Hạnh phúc</w:t>
            </w:r>
            <w:r w:rsidRPr="00F1032B">
              <w:rPr>
                <w:rFonts w:ascii="Times New Roman" w:eastAsia="Times New Roman" w:hAnsi="Times New Roman" w:cs="Times New Roman"/>
                <w:b/>
                <w:bCs/>
                <w:color w:val="000000"/>
                <w:sz w:val="26"/>
                <w:szCs w:val="26"/>
              </w:rPr>
              <w:br/>
              <w:t>---------------</w:t>
            </w:r>
          </w:p>
        </w:tc>
      </w:tr>
      <w:tr w:rsidR="00F1032B" w:rsidRPr="00F1032B" w:rsidTr="00F1032B">
        <w:trPr>
          <w:tblCellSpacing w:w="0" w:type="dxa"/>
        </w:trPr>
        <w:tc>
          <w:tcPr>
            <w:tcW w:w="334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67/2023/NĐ-CP</w:t>
            </w:r>
          </w:p>
        </w:tc>
        <w:tc>
          <w:tcPr>
            <w:tcW w:w="5940"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Hà Nội, ngày 06 tháng 9 năm 2023</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0" w:name="loai_1"/>
      <w:r w:rsidRPr="00F1032B">
        <w:rPr>
          <w:rFonts w:ascii="Times New Roman" w:eastAsia="Times New Roman" w:hAnsi="Times New Roman" w:cs="Times New Roman"/>
          <w:b/>
          <w:bCs/>
          <w:color w:val="000000"/>
          <w:sz w:val="26"/>
          <w:szCs w:val="26"/>
        </w:rPr>
        <w:t>NGHỊ ĐỊNH</w:t>
      </w:r>
      <w:bookmarkEnd w:id="0"/>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 w:name="loai_1_name"/>
      <w:r w:rsidRPr="00F1032B">
        <w:rPr>
          <w:rFonts w:ascii="Times New Roman" w:eastAsia="Times New Roman" w:hAnsi="Times New Roman" w:cs="Times New Roman"/>
          <w:color w:val="000000"/>
          <w:sz w:val="26"/>
          <w:szCs w:val="26"/>
        </w:rPr>
        <w:t>QUY ĐỊNH VỀ BẢO HIỂM BẮT BUỘC TRÁCH NHIỆM DÂN SỰ CỦA CHỦ XE CƠ GIỚI, BẢO HIỂM CHÁY, NỔ BẮT BUỘC, BẢO HIỂM BẮT BUỘC TRONG HOẠT ĐỘNG ĐẦU TƯ XÂY DỰNG</w:t>
      </w:r>
      <w:bookmarkEnd w:id="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Luật Tổ chức Chính phủ ngày 19 tháng 6 năm 2015; Luật sửa đổi, bổ sung một số điều của Luật Tổ chức Chính phủ và Luật Tổ chức chính quyền địa phương ngày 22 tháng 11 năm 2019;</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Bộ luật Dân sự ngày 24 tháng 11 năm 2015;</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Luật Kinh doanh bảo hiểm ngày 16 tháng 6 năm 2022;</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Luật Giao thông đường bộ ngày 13 tháng 11 năm 2008;</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Luật Phòng cháy và chữa cháy ngày 29 tháng 6 năm 2001; Luật sửa đổi, bổ sung một số điều của Luật Phòng cháy và chữa cháy ngày 22 tháng 11 năm 2013;</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Căn cứ Luật Xây dựng ngày 18 tháng 6 năm 2014; Luật sửa đổi, bổ sung một số điều của Luật Xây dựng ngày 17 tháng 6 năm 2020;</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Theo đề nghị của Bộ trưởng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Chính phủ ban hành Nghị định quy định về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2" w:name="chuong_1"/>
      <w:r w:rsidRPr="00F1032B">
        <w:rPr>
          <w:rFonts w:ascii="Times New Roman" w:eastAsia="Times New Roman" w:hAnsi="Times New Roman" w:cs="Times New Roman"/>
          <w:b/>
          <w:bCs/>
          <w:color w:val="000000"/>
          <w:sz w:val="26"/>
          <w:szCs w:val="26"/>
        </w:rPr>
        <w:t>Chương I</w:t>
      </w:r>
      <w:bookmarkEnd w:id="2"/>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3" w:name="chuong_1_name"/>
      <w:r w:rsidRPr="00F1032B">
        <w:rPr>
          <w:rFonts w:ascii="Times New Roman" w:eastAsia="Times New Roman" w:hAnsi="Times New Roman" w:cs="Times New Roman"/>
          <w:b/>
          <w:bCs/>
          <w:color w:val="000000"/>
          <w:sz w:val="26"/>
          <w:szCs w:val="26"/>
        </w:rPr>
        <w:t>QUY ĐỊNH CHUNG</w:t>
      </w:r>
      <w:bookmarkEnd w:id="3"/>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 w:name="dieu_1"/>
      <w:r w:rsidRPr="00F1032B">
        <w:rPr>
          <w:rFonts w:ascii="Times New Roman" w:eastAsia="Times New Roman" w:hAnsi="Times New Roman" w:cs="Times New Roman"/>
          <w:b/>
          <w:bCs/>
          <w:color w:val="000000"/>
          <w:sz w:val="26"/>
          <w:szCs w:val="26"/>
        </w:rPr>
        <w:t>Điều 1. Phạm vi điều chỉnh</w:t>
      </w:r>
      <w:bookmarkEnd w:id="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Nghị định này quy định về:</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Điều kiện bảo hiểm, mức phí bảo hiểm, số tiền bảo hiểm tối thiểu đối với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Cơ chế quản lý, sử dụng Quỹ bảo hiểm xe cơ giới; mức thu, chế độ quản lý, sử dụng nguồn thu từ bảo hiểm cháy, nổ bắt buộc cho hoạt động phòng cháy, chữa cháy.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Trách nhiệm của các bộ, cơ quan có liên quan, bên mua bảo hiểm và doanh nghiệp bảo hiểm trong việc thực hiện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5" w:name="dieu_2"/>
      <w:r w:rsidRPr="00F1032B">
        <w:rPr>
          <w:rFonts w:ascii="Times New Roman" w:eastAsia="Times New Roman" w:hAnsi="Times New Roman" w:cs="Times New Roman"/>
          <w:b/>
          <w:bCs/>
          <w:color w:val="000000"/>
          <w:sz w:val="26"/>
          <w:szCs w:val="26"/>
        </w:rPr>
        <w:lastRenderedPageBreak/>
        <w:t>Điều 2. Đối tượng áp dụng</w:t>
      </w:r>
      <w:bookmarkEnd w:id="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Nghị định này áp dụng đối với: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Chủ xe cơ giới tham gia giao thông, hoạt động trên lãnh thổ nước Cộng hòa xã hội chủ nghĩa Việt Nam đối với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Cơ quan, tổ chức và cá nhân có cơ sở có nguy hiểm về cháy, nổ theo quy định của pháp luật phòng cháy và chữa cháy đối với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Chủ đầu tư, nhà thầu theo quy định của pháp luật xây dựng đối với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Doanh nghiệp bảo hiểm phi nhân thọ, chi nhánh doanh nghiệp bảo hiểm phi nhân thọ nước ngoài (sau đây gọi là “doanh nghiệp bảo hiểm”); doanh nghiệp tái bảo hiểm, chi nhánh doanh nghiệp tái bảo hiểm nước ngoài (sau đây gọi là “doanh nghiệp tái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Cơ quan, tổ chức, cá nhân khác có liên quan đến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 w:name="dieu_3"/>
      <w:r w:rsidRPr="00F1032B">
        <w:rPr>
          <w:rFonts w:ascii="Times New Roman" w:eastAsia="Times New Roman" w:hAnsi="Times New Roman" w:cs="Times New Roman"/>
          <w:b/>
          <w:bCs/>
          <w:color w:val="000000"/>
          <w:sz w:val="26"/>
          <w:szCs w:val="26"/>
        </w:rPr>
        <w:t>Điều 3. Giải thích từ ngữ</w:t>
      </w:r>
      <w:bookmarkEnd w:id="6"/>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Nghị định này, các từ ngữ dưới đây được hiểu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Chủ xe cơ giới là chủ sở hữu xe cơ giới hoặc được chủ sở hữu xe cơ giới giao chiếm hữu, sử dụng hợp pháp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Xe cơ giới hoạt động là xe cơ giới đang vận hành gồm di chuyển, dừng xe, đỗ xe có sự điều khiển của chủ xe cơ giới hoặc người lái xe.</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Xe cơ giới tham gia giao thông là việc chủ xe cơ giới hoặc người lái xe điều khiển xe cơ giới tham gia giao thông đường bộ.</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Nhà thầu tư vấn là nhà thầu tư vấn khảo sát xây dựng, nhà thầu tư vấn thiết kế xây dựng của công trình xây dựng từ cấp II trở lên.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Người thứ ba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bảo hiểm bắt buộc trách nhiệm dân sự của chủ xe cơ giới: Người thứ ba là người bị thiệt hại về sức khỏe, tính mạng, tài sản do xe cơ giới gây ra, trừ những người sau: Người lái xe, người trên xe, hành khách trên chính chiếc xe đó; chủ sở hữu xe trừ trường hợp chủ sở hữu đã giao cho tổ chức, cá nhân khác chiếm hữu, sử dụng chiếc xe đó.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bảo hiểm bắt buộc trong hoạt động đầu tư xây dựng: Người thứ ba là bên bị thiệt hại về sức khỏe, tính mạng, tài sản hoặc quyền, lợi ích hợp pháp khác có nguyên nhân từ việc khảo sát xây dựng, thiết kế xây dựng, thi công xây dựng trừ doanh nghiệp bảo hiểm, bên mua bảo hiểm, người lao động thi công trên công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 Mức khấu trừ bảo hiểm là số tiền mà bên mua bảo hiểm phải tự chịu trong mỗi sự kiện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Đưa vào sử dụng là việc đưa công trình, hạng mục công trình xây dựng vào vận hành, khai thác.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Bệnh nghề nghiệp theo quy định tại Luật An toàn, vệ sinh lao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Người lao động theo quy định tại Bộ luật Lao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Tai nạn lao động theo quy định tại Luật An toàn, vệ sinh lao động.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 w:name="dieu_4"/>
      <w:r w:rsidRPr="00F1032B">
        <w:rPr>
          <w:rFonts w:ascii="Times New Roman" w:eastAsia="Times New Roman" w:hAnsi="Times New Roman" w:cs="Times New Roman"/>
          <w:b/>
          <w:bCs/>
          <w:color w:val="000000"/>
          <w:sz w:val="26"/>
          <w:szCs w:val="26"/>
        </w:rPr>
        <w:t>Điều 4. Nguyên tắc chung</w:t>
      </w:r>
      <w:bookmarkEnd w:id="7"/>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Cơ quan, tổ chức và cá nhân quy định tại </w:t>
      </w:r>
      <w:bookmarkStart w:id="8" w:name="tc_1"/>
      <w:r w:rsidRPr="00F1032B">
        <w:rPr>
          <w:rFonts w:ascii="Times New Roman" w:eastAsia="Times New Roman" w:hAnsi="Times New Roman" w:cs="Times New Roman"/>
          <w:color w:val="0000FF"/>
          <w:sz w:val="26"/>
          <w:szCs w:val="26"/>
        </w:rPr>
        <w:t>khoản 1, khoản 2, khoản 3 Điều 2 Nghị định này</w:t>
      </w:r>
      <w:bookmarkEnd w:id="8"/>
      <w:r w:rsidRPr="00F1032B">
        <w:rPr>
          <w:rFonts w:ascii="Times New Roman" w:eastAsia="Times New Roman" w:hAnsi="Times New Roman" w:cs="Times New Roman"/>
          <w:color w:val="000000"/>
          <w:sz w:val="26"/>
          <w:szCs w:val="26"/>
        </w:rPr>
        <w:t> (sau đây gọi là “bên mua bảo hiểm”) phải mua bảo hiểm bắt buộc tại các doanh nghiệp bảo hiểm được phép triển khai nghiệp vụ bảo hiểm theo quy định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Bên mua bảo hiểm và doanh nghiệp bảo hiểm triển khai bảo hiểm bắt buộc theo điều kiện bảo hiểm, mức phí bảo hiểm, số tiền bảo hiểm tối thiểu quy định tại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Ngoài việc tham gia bảo hiểm bắt buộc theo điều kiện bảo hiểm, mức phí bảo hiểm, số tiền bảo hiểm tối thiểu hoặc giới hạn trách nhiệm bảo hiểm quy định tại Nghị định này, bên mua bảo hiểm và doanh nghiệp bảo hiểm có thể thỏa thuận tại hợp đồng bảo hiểm về mở rộng điều kiện bảo hiểm, số tiền bảo hiểm tăng thêm và mức phí bảo hiểm bổ sung tương ứng phù hợp với quy định pháp luật. Trong trường hợp này, doanh nghiệp bảo hiểm có trách nhiệm tách riêng phần bảo hiểm bắt buộc trong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nước khuyến khích các cơ quan, tổ chức và cá nhân không thuộc đối tượng phải mua bảo hiểm bắt buộc theo quy định tại Nghị định này mua bảo hiểm trên cơ sở thỏa thuận với doanh nghiệp bảo hiểm và phù hợp với quy định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Trong bảo hiểm bắt buộc trách nhiệm dân sự của chủ xe cơ giới, đối với mỗi xe cơ giới, trách nhiệm bồi thường bảo hiểm bắt buộc trách nhiệm dân sự của chủ xe cơ giới chỉ phát sinh theo một hợp đồng bảo hiểm duy nhất.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Doanh nghiệp bảo hiểm có quyền từ chối bán bảo hiểm bắt buộc trong các trường hợp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Xe cơ giới hết niên hạn sử dụng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có nguy hiểm về cháy, nổ chưa được nghiệm thu về phòng cháy và chữa cháy theo quy định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có nguy hiểm về cháy, nổ không có biên bản kiểm tra an toàn về phòng cháy và chữa cháy của cơ quan Công an có thẩm quyền hoặc biên bản kiểm tra đã quá 1 năm tính từ thời điểm lập đến thời điểm mua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Cơ sở có nguy hiểm về cháy, nổ đang bị tạm đình chỉ hoặc đình chỉ hoạt động do vi phạm quy định pháp luật phòng cháy và chữa cháy.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Đối với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không đáp ứng đầy đủ điều kiện năng lực hoạt động xây dựng quy định tại Luật Xây dựng và các văn bản hướng dẫn thi hành.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Chi phí mua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bảo hiểm bắt buộc trách nhiệm dân sự của chủ xe cơ giới và bảo hiểm cháy, nổ bắt buộc: Bên mua bảo hiểm được tính chi phí mua bảo hiểm bắt buộc vào giá thành sản phẩm, dịch vụ hoặc chi phí hoạt động kinh doanh (đối với cơ sở sản xuất kinh doanh) hoặc vào chi thường xuyên (đối với cơ quan hành chính nhà nước, đơn vị sự nghiệp công lập, tổ chức chính trị xã hội và các tổ chức khác).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Chi phí mua bảo hiểm bắt buộc trong hoạt động đầu tư xây dựng: Thực hiện theo quy định pháp luật về xây dựng và các quy định tại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Thời hạn thanh toán phí bảo hiểm thực hiện theo quy định của Bộ trưởng Bộ Tài chính. Đối với các hợp đồng bảo hiểm cho các công trình xây dựng thuộc các dự án đầu tư xây dựng quy định tại Nghị định số 50/2021/NĐ-CP ngày 01 tháng 4 năm 2021 của Chính phủ sửa đổi, bổ sung một số điều của Nghị định số 37/2015/NĐ-CP ngày 22 tháng 4 năm 2015 của Chính phủ quy định chi tiết về hợp đồng xây dựng, doanh nghiệp bảo hiểm và bên mua bảo hiểm thỏa thuận thời hạn thanh toán phí bảo hiểm ghi trong hợp đồng bảo hiểm và không chậm hơn tiến độ thanh toán của hợp đồng xây dựng. Trong mọi trường hợp, thời hạn thanh toán phí bảo hiểm không được vượt quá thời hạn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Doanh nghiệp bảo hiểm không có trách nhiệm bồi thường bảo hiểm đối với những khoản tiền phát sinh, tăng thêm do hành vi gian lận bảo hiểm theo quy định tại Bộ luật Hình sự.</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Doanh nghiệp, tổ chức bảo hiểm nước ngoài đứng đầu nhận tái bảo hiểm và doanh nghiệp, tổ chức bảo hiểm nước ngoài nhận tái bảo hiểm từ 10% tổng mức trách nhiệm của mỗi hợp đồng tái bảo hiểm phải được xếp hạng tối thiểu “BBB” theo Standard &amp; Poor’s hoặc Fitch, “B++” theo A.M.Best, “Baal” theo Moody’s hoặc các kết quả xếp hạng tương đương của các tổ chức có chức năng, kinh nghiệm xếp hạng khác tại năm tài chính gần nhất so với thời điểm giao kết hợp đồng tái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Các nội dung liên quan đến hợp đồng bảo hiểm không được quy định tại Nghị định này được thực hiện theo pháp luật kinh doanh bảo hiểm và pháp luật có liên quan.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 w:name="chuong_2"/>
      <w:r w:rsidRPr="00F1032B">
        <w:rPr>
          <w:rFonts w:ascii="Times New Roman" w:eastAsia="Times New Roman" w:hAnsi="Times New Roman" w:cs="Times New Roman"/>
          <w:b/>
          <w:bCs/>
          <w:color w:val="000000"/>
          <w:sz w:val="26"/>
          <w:szCs w:val="26"/>
        </w:rPr>
        <w:t>Chương II</w:t>
      </w:r>
      <w:bookmarkEnd w:id="9"/>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0" w:name="chuong_2_name"/>
      <w:r w:rsidRPr="00F1032B">
        <w:rPr>
          <w:rFonts w:ascii="Times New Roman" w:eastAsia="Times New Roman" w:hAnsi="Times New Roman" w:cs="Times New Roman"/>
          <w:b/>
          <w:bCs/>
          <w:color w:val="000000"/>
          <w:sz w:val="26"/>
          <w:szCs w:val="26"/>
        </w:rPr>
        <w:t>QUY ĐỊNH VỀ BẢO HIỂM BẮT BUỘC TRÁCH NHIỆM DÂN SỰ CỦA CHỦ XE CƠ GIỚI</w:t>
      </w:r>
      <w:bookmarkEnd w:id="10"/>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 w:name="muc_1_2"/>
      <w:r w:rsidRPr="00F1032B">
        <w:rPr>
          <w:rFonts w:ascii="Times New Roman" w:eastAsia="Times New Roman" w:hAnsi="Times New Roman" w:cs="Times New Roman"/>
          <w:b/>
          <w:bCs/>
          <w:color w:val="000000"/>
          <w:sz w:val="26"/>
          <w:szCs w:val="26"/>
        </w:rPr>
        <w:t>Mục 1. ĐIỀU KIỆN BẢO HIỂM, MỨC PHÍ BẢO HIỂM, GIỚI HẠN TRÁCH NHIỆM BẢO HIỂM</w:t>
      </w:r>
      <w:bookmarkEnd w:id="11"/>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 w:name="dieu_5"/>
      <w:r w:rsidRPr="00F1032B">
        <w:rPr>
          <w:rFonts w:ascii="Times New Roman" w:eastAsia="Times New Roman" w:hAnsi="Times New Roman" w:cs="Times New Roman"/>
          <w:b/>
          <w:bCs/>
          <w:color w:val="000000"/>
          <w:sz w:val="26"/>
          <w:szCs w:val="26"/>
        </w:rPr>
        <w:t>Điều 5. Đối tượng bảo hiểm</w:t>
      </w:r>
      <w:bookmarkEnd w:id="1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Đối tượng bảo hiểm bắt buộc trách nhiệm dân sự của chủ xe cơ giới là trách nhiệm dân sự của chủ xe cơ giới đối với người thứ ba, hành khách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3" w:name="dieu_6"/>
      <w:r w:rsidRPr="00F1032B">
        <w:rPr>
          <w:rFonts w:ascii="Times New Roman" w:eastAsia="Times New Roman" w:hAnsi="Times New Roman" w:cs="Times New Roman"/>
          <w:b/>
          <w:bCs/>
          <w:color w:val="000000"/>
          <w:sz w:val="26"/>
          <w:szCs w:val="26"/>
        </w:rPr>
        <w:t>Điều 6. Giới hạn trách nhiệm bảo hiểm</w:t>
      </w:r>
      <w:bookmarkEnd w:id="1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Giới hạn trách nhiệm bảo hiểm đối với thiệt hại về sức khỏe, tính mạng do xe cơ giới gây ra là 150 triệu đồng cho một người trong một vụ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Giới hạn trách nhiệm bảo hiểm đối với thiệt hại về tài sản: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Do xe mô tô hai bánh; xe mô tô ba bánh; xe gắn máy (kể cả xe máy điện) và các loại xe có kết cấu tương tự theo quy định của Luật Giao thông đường bộ gây ra là 50 triệu đồng trong một vụ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Do xe ô tô; máy kéo; rơ moóc hoặc sơ mi rơ moóc được kéo bởi xe ô tô, máy kéo theo quy định của Luật Giao thông đường bộ gây ra là 100 triệu đồng trong một vụ tai nạn.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 w:name="dieu_7"/>
      <w:r w:rsidRPr="00F1032B">
        <w:rPr>
          <w:rFonts w:ascii="Times New Roman" w:eastAsia="Times New Roman" w:hAnsi="Times New Roman" w:cs="Times New Roman"/>
          <w:b/>
          <w:bCs/>
          <w:color w:val="000000"/>
          <w:sz w:val="26"/>
          <w:szCs w:val="26"/>
        </w:rPr>
        <w:t>Điều 7. Phạm vi bảo hiểm và loại trừ trách nhiệm bảo hiểm</w:t>
      </w:r>
      <w:bookmarkEnd w:id="1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có trách nhiệm bồi thường cho những thiệt hại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Thiệt hại ngoài hợp đồng về sức khỏe, tính mạng và tài sản đối với người thứ ba do xe cơ giới tham gia giao thông, hoạt động gây ra.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Thiệt hại về sức khỏe, tính mạng của hành khách trên chiếc xe đó do xe cơ giới tham gia giao thông, hoạt động gây ra.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không có trách nhiệm bồi thường bảo hiểm trong các trường hợp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Hành động cố ý gây thiệt hại của chủ xe cơ giới, người lái xe hoặc người bị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Người lái xe gây tai nạn cố ý bỏ chạy không thực hiện trách nhiệm dân sự của chủ xe cơ giới. Trường hợp người lái xe gây tai nạn cố ý bỏ chạy nhưng đã thực hiện trách nhiệm dân sự của chủ xe cơ giới thì không thuộc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Người lái xe không đủ điều kiện về độ tuổi theo quy định của Luật Giao thông đường bộ; người lái xe không có Giấy phép lái xe hoặc sử dụng Giấy phép lái xe không hợp lệ theo quy định của pháp luật về đào tạo, sát hạch, cấp giấy phép lái xe cơ giới đường bộ, Giấy phép lái xe bị tẩy xóa hoặc sử dụng Giấy phép lái xe hết hạn sử dụng tại thời điểm xảy ra tai nạn hoặc sử dụng Giấy phép lái xe không phù hợp đối với xe cơ giới bắt buộc phải có Giấy phép lái xe. Trường hợp người lái xe bị tước quyền sử dụng Giấy phép lái xe có thời hạn hoặc bị thu hồi Giấy phép lái xe thì được coi là không có Giấy phép lái xe.</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Thiệt hại gây ra hậu quả gián tiếp bao gồm: giảm giá trị thương mại, thiệt hại gắn liền với việc sử dụng và khai thác tài sản bị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đ) Thiệt hại đối với tài sản do lái xe điều khiển xe cơ giới mà trong máu hoặc hơi thở có nồng độ cồn vượt quá mức trị số bình thường theo hướng dẫn của Bộ Y tế; sử dụng ma túy và chất kích thích bị cấm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Thiệt hại đối với tài sản bị mất cắp hoặc bị cướp trong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Thiệt hại đối với tài sản đặc biệt bao gồm: vàng, bạc, đá quý, các loại giấy tờ có giá trị như tiền, đồ cổ, tranh ảnh quý hiếm, thi hài, hài cốt.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Thiệt hại do chiến tranh, khủng bố, động đất.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 w:name="dieu_8"/>
      <w:r w:rsidRPr="00F1032B">
        <w:rPr>
          <w:rFonts w:ascii="Times New Roman" w:eastAsia="Times New Roman" w:hAnsi="Times New Roman" w:cs="Times New Roman"/>
          <w:b/>
          <w:bCs/>
          <w:color w:val="000000"/>
          <w:sz w:val="26"/>
          <w:szCs w:val="26"/>
        </w:rPr>
        <w:t>Điều 8. Mức phí bảo hiểm</w:t>
      </w:r>
      <w:bookmarkEnd w:id="15"/>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phí bảo hiểm của từng loại xe cơ giới được quy định tại </w:t>
      </w:r>
      <w:bookmarkStart w:id="16" w:name="bieumau_pl1"/>
      <w:r w:rsidRPr="00F1032B">
        <w:rPr>
          <w:rFonts w:ascii="Times New Roman" w:eastAsia="Times New Roman" w:hAnsi="Times New Roman" w:cs="Times New Roman"/>
          <w:color w:val="000000"/>
          <w:sz w:val="26"/>
          <w:szCs w:val="26"/>
        </w:rPr>
        <w:t>Phụ lục I</w:t>
      </w:r>
      <w:bookmarkEnd w:id="16"/>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Căn cứ vào lịch sử bồi thường bảo hiểm của từng xe cơ giới hoặc lịch sử gây tai nạn của chủ xe cơ giới, doanh nghiệp bảo hiểm chủ động xem xét, điều chỉnh tăng, giảm phí bảo hiểm. Mức tăng, giảm phí bảo hiểm tối đa là 15% tính trên mức phí bảo hiểm quy định tại </w:t>
      </w:r>
      <w:bookmarkStart w:id="17" w:name="bieumau_pl1_1"/>
      <w:r w:rsidRPr="00F1032B">
        <w:rPr>
          <w:rFonts w:ascii="Times New Roman" w:eastAsia="Times New Roman" w:hAnsi="Times New Roman" w:cs="Times New Roman"/>
          <w:color w:val="000000"/>
          <w:sz w:val="26"/>
          <w:szCs w:val="26"/>
        </w:rPr>
        <w:t>Phụ lục I</w:t>
      </w:r>
      <w:bookmarkEnd w:id="17"/>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8" w:name="dieu_9"/>
      <w:r w:rsidRPr="00F1032B">
        <w:rPr>
          <w:rFonts w:ascii="Times New Roman" w:eastAsia="Times New Roman" w:hAnsi="Times New Roman" w:cs="Times New Roman"/>
          <w:b/>
          <w:bCs/>
          <w:color w:val="000000"/>
          <w:sz w:val="26"/>
          <w:szCs w:val="26"/>
        </w:rPr>
        <w:t>Điều 9. Thời hạn bảo hiểm</w:t>
      </w:r>
      <w:bookmarkEnd w:id="1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Thời hạn bảo hiểm bắt buộc trách nhiệm dân sự của chủ xe cơ giới tối thiểu là 1 năm và tối đa là 3 năm, trừ các trường hợp thời hạn bảo hiểm dưới 1 năm sau đây: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Xe cơ giới nước ngoài tạm nhập, tái xuất có thời hạn tham gia giao thông trên lãnh thổ nước Cộng hòa xã hội chủ nghĩa Việt Nam dưới 1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Xe cơ giới có niên hạn sử dụng nhỏ hơn 1 năm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Xe cơ giới thuộc đối lượng đăng ký tạm thời theo quy định của Bộ trưởng Bộ Công 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chủ xe cơ giới có nhiều xe tham gia bảo hiểm vào nhiều thời điểm khác nhau trong năm nhưng đến năm tiếp theo có nhu cầu đưa về cùng một thời điểm bảo hiểm để quản lý, thời hạn bảo hiểm của các xe này có thể nhỏ hơn 1 năm và bằng thời gian hiệu lực còn lại của hợp đồng bảo hiểm giao kết đầu tiên của năm đó. Thời hạn bảo hiểm của năm tiếp theo đối với các hợp đồng bảo hiểm, Giấy chứng nhận bảo hiểm sau khi được đưa về cùng thời điểm thực hiện theo quy định tại khoản 1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Trong thời hạn còn hiệu lực ghi trên Giấy chứng nhận bảo hiểm, nếu có sự chuyển quyền sở hữu xe cơ giới, chủ xe cơ giới cũ có quyền chấm dứt thực hiện hợp đồng bảo hiểm theo quy định tại </w:t>
      </w:r>
      <w:bookmarkStart w:id="19" w:name="tc_2"/>
      <w:r w:rsidRPr="00F1032B">
        <w:rPr>
          <w:rFonts w:ascii="Times New Roman" w:eastAsia="Times New Roman" w:hAnsi="Times New Roman" w:cs="Times New Roman"/>
          <w:color w:val="0000FF"/>
          <w:sz w:val="26"/>
          <w:szCs w:val="26"/>
        </w:rPr>
        <w:t>Điều 11 Nghị định này</w:t>
      </w:r>
      <w:bookmarkEnd w:id="19"/>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20" w:name="dieu_10"/>
      <w:r w:rsidRPr="00F1032B">
        <w:rPr>
          <w:rFonts w:ascii="Times New Roman" w:eastAsia="Times New Roman" w:hAnsi="Times New Roman" w:cs="Times New Roman"/>
          <w:b/>
          <w:bCs/>
          <w:color w:val="000000"/>
          <w:sz w:val="26"/>
          <w:szCs w:val="26"/>
        </w:rPr>
        <w:t>Điều 10. Giấy chứng nhận bảo hiểm</w:t>
      </w:r>
      <w:bookmarkEnd w:id="2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mua bảo hiểm bắt buộc trách nhiệm dân sự của chủ xe cơ giới, chủ xe cơ giới được doanh nghiệp bảo hiểm cấp Giấy chứng nhận bảo hiểm. Mỗi xe cơ giới được cấp 1 Giấy chứng nhận bảo hiểm. Chủ xe cơ giới bị mất Giấy chứng nhận bảo hiểm phải có văn bản đề nghị doanh nghiệp bảo hiểm cấp lại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Giấy chứng nhận bảo hiểm do doanh nghiệp bảo hiểm chủ động thiết kế và phải bao gồm các nội dung sau đây: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Tên, địa chỉ, số điện thoại (nếu có)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 Biển số xe và số khung, số máy.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Loại xe, trọng tải, số chỗ, mục đích sử dụng đối với xe ô tô.</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Tên, địa chỉ, số điện thoại đường dây nóng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Giới hạn trách nhiệm bảo hiểm đối với người thứ ba.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Trách nhiệm của chủ xe cơ giới, người lái xe khi xảy ra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Thời hạn bảo hiểm, phí bảo hiểm, thời hạn thanh toán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Ngày, tháng, năm cấp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Mã số, mã vạch được đăng ký, quản lý và sử dụng theo quy định của pháp luật để lưu trữ, chuyển tải và truy xuất thông tin định danh doanh nghiệp bảo hiểm và định danh sản phẩm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Trường hợp cấp Giấy chứng nhận bảo hiểm điện tử, doanh nghiệp bảo hiểm phải tuân thủ các quy định của Luật Giao dịch điện tử và các văn bản hướng dẫn thi hành; Giấy chứng nhận bảo hiểm điện tử phải tuân thủ đầy đủ các quy định hiện hành và phản ánh đầy đủ các nội dung quy định tại khoản 2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21" w:name="dieu_11"/>
      <w:r w:rsidRPr="00F1032B">
        <w:rPr>
          <w:rFonts w:ascii="Times New Roman" w:eastAsia="Times New Roman" w:hAnsi="Times New Roman" w:cs="Times New Roman"/>
          <w:b/>
          <w:bCs/>
          <w:color w:val="000000"/>
          <w:sz w:val="26"/>
          <w:szCs w:val="26"/>
        </w:rPr>
        <w:t>Điều 11. Chấm dứt thực hiện hợp đồng bảo hiểm và hậu quả pháp lý của việc chấm dứt thực hiện hợp đồng bảo hiểm</w:t>
      </w:r>
      <w:bookmarkEnd w:id="2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xe cơ giới bị thu hồi Giấy chứng nhận đăng ký xe, biển số xe theo quy định của Bộ trưởng Bộ Công an, hợp đồng bảo hiểm chấm dứt kể từ thời điểm bị thu hồi Giấy chứng nhận đăng ký xe, biển số xe. Doanh nghiệp bảo hiểm có trách nhiệm hoàn phí bảo hiểm đã đóng cho bên mua bảo hiểm tương ứng với thời hạn còn lại của hợp đồng bảo hiểm kể từ thời điểm hợp đồng bảo hiểm chấm dứt.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22" w:name="dieu_12"/>
      <w:r w:rsidRPr="00F1032B">
        <w:rPr>
          <w:rFonts w:ascii="Times New Roman" w:eastAsia="Times New Roman" w:hAnsi="Times New Roman" w:cs="Times New Roman"/>
          <w:b/>
          <w:bCs/>
          <w:color w:val="000000"/>
          <w:sz w:val="26"/>
          <w:szCs w:val="26"/>
        </w:rPr>
        <w:t>Điều 12. Nguyên tắc bồi thường bảo hiểm</w:t>
      </w:r>
      <w:bookmarkEnd w:id="2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của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tai nạn xảy ra, bên mua bảo hiểm, người được bảo hiểm phải có trách nhiệm: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Thông báo ngay cho doanh nghiệp bảo hiểm vào đường dây nóng để phối hợp giải quyết, tích cực cứu chữa, hạn chế thiệt hại về sức khỏe, tính mạng và tài sản, bảo vệ hiện trường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Không được di chuyển, tháo gỡ hoặc sửa chữa tài sản khi chưa có ý kiến chấp thuận của doanh nghiệp bảo hiểm, trừ trường hợp cần thiết để đảm bảo an toàn, đề phòng hạn chế thiệt hại về sức khỏe, tính mạng và tài sản hoặc phải thi hành theo yêu cầu của cơ quan có thẩm quyền.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Chủ động thu thập và cung cấp các tài liệu quy định trong hồ sơ bồi thường bảo hiểm thuộc trách nhiệm của bên mua bảo hiểm, người được bảo hiểm cho doanh nghiệp bảo hiểm quy định tại </w:t>
      </w:r>
      <w:bookmarkStart w:id="23" w:name="tc_3"/>
      <w:r w:rsidRPr="00F1032B">
        <w:rPr>
          <w:rFonts w:ascii="Times New Roman" w:eastAsia="Times New Roman" w:hAnsi="Times New Roman" w:cs="Times New Roman"/>
          <w:color w:val="0000FF"/>
          <w:sz w:val="26"/>
          <w:szCs w:val="26"/>
        </w:rPr>
        <w:t>Điều 13 Nghị định này</w:t>
      </w:r>
      <w:bookmarkEnd w:id="23"/>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d) Tạo điều kiện thuận lợi cho doanh nghiệp bảo hiểm trong quá trình xác minh các tài liệu do mình cung cấp.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Khi nhận được thông báo về tai nạn, trong vòng 1 giờ doanh nghiệp bảo hiểm phải hướng dẫn bên mua bảo hiểm, người được bảo hiểm các biện pháp bảo đảm an toàn, đề phòng hạn chế thiệt hại về người và tài sản, hướng dẫn hồ sơ, thủ tục yêu cầu bồi thường bảo hiểm; phối hợp chặt chẽ với bên mua bảo hiểm, người được bảo hiểm, người thứ ba và các bên liên quan trong vòng 24 giờ tổ chức thực hiện việc giám định tổn thất xác định nguyên nhân và mức độ tổn thất làm căn cứ giải quyết bồi thường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Trong vòng 3 ngày làm việc kể từ ngày nhận được thông báo của bên mua bảo hiểm, người được bảo hiểm về vụ tai nạn, doanh nghiệp bảo hiểm phải tạm ứng bồi thường đối với thiệt hại về sức khỏe, tính mạng, cụ thể:</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Trường hợp đã xác định được vụ tai nạn thuộc phạm vi bồi thường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 mức bồi thường bảo hiểm ước tính theo quy định cho một người trong một vụ tai nạn đối với trường hợp tử vong.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 mức bồi thường bảo hiểm ước tính theo quy định cho một người trong một vụ tai nạn đối với trường hợp tổn thương bộ phận.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Trường hợp chưa xác định được vụ tai nạn thuộc phạm vi bồi thường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 giới hạn trách nhiệm bảo hiểm theo quy định cho một người trong một vụ tai nạn đối với trường hợp tử vong và ước tính tỷ lệ tổn thương từ 81% trở lên.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giới hạn trách nhiệm bảo hiểm theo quy định cho một người trong một vụ tai nạn đối với trường hợp ước tính tỷ lệ tổn thương từ 31% đến dưới 81%.</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Sau khi đã thực hiện tạm ứng bồi thường, doanh nghiệp bảo hiểm có quyền yêu cầu Quỹ bảo hiểm xe cơ giới hoàn trả số tiền đã tạm ứng bồi thường trong trường hợp tai nạn được xác định thuộc loại trừ trách nhiệm bảo hiểm hoặc không thuộc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Trong thời hạn 5 ngày làm việc kể từ ngày xảy ra tai nạn trừ trường hợp bất khả kháng hoặc trở ngại khách quan, bên mua bảo hiểm, người được bảo hiểm phải gửi thông báo tai nạn bằng văn bản hoặc thông qua hình thức điện tử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Khi tai nạn xảy ra, trong phạm vi giới hạn trách nhiệm bảo hiểm, doanh nghiệp bảo hiểm phải bồi thường cho người được bảo hiểm số tiền mà người được bảo hiểm đã bồi thường hoặc sẽ phải bồi thường cho người bị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người được bảo hiểm chết, mất năng lực hành vi dân sự theo quyết định của Tòa án, doanh nghiệp bảo hiểm bồi thường trực tiếp cho người bị thiệt hại hoặc người thừa kế của người bị thiệt hại (trong trường hợp người bị thiệt hại đã chết) hoặc đại diện của người bị thiệt hại (trong trường hợp người bị thiệt hại mất năng lực hành vi dân sự theo quyết định của Tòa án hoặc chưa thành niên theo quy định của Bộ luật Dân sự).</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Mức bồi thường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a) Mức bồi thường cụ thể về sức khỏe, tính mạng được xác định theo từng loại thương tật, thiệt hại theo Bảng quy định trả tiền bồi thường thiệt hại về sức khỏe, tính mạng theo quy định tại </w:t>
      </w:r>
      <w:bookmarkStart w:id="24" w:name="bieumau_pl6"/>
      <w:r w:rsidRPr="00F1032B">
        <w:rPr>
          <w:rFonts w:ascii="Times New Roman" w:eastAsia="Times New Roman" w:hAnsi="Times New Roman" w:cs="Times New Roman"/>
          <w:color w:val="000000"/>
          <w:sz w:val="26"/>
          <w:szCs w:val="26"/>
        </w:rPr>
        <w:t>Phụ lục VI</w:t>
      </w:r>
      <w:bookmarkEnd w:id="24"/>
      <w:r w:rsidRPr="00F1032B">
        <w:rPr>
          <w:rFonts w:ascii="Times New Roman" w:eastAsia="Times New Roman" w:hAnsi="Times New Roman" w:cs="Times New Roman"/>
          <w:color w:val="000000"/>
          <w:sz w:val="26"/>
          <w:szCs w:val="26"/>
        </w:rPr>
        <w:t> ban hành kèm theo Nghị định này hoặc theo thỏa thuận (nếu có) giữa người được bảo hiểm và người bị thiệt hại hoặc người thừa kế của người bị thiệt hại (trong trường hợp người bị thiệt hại đã chết) hoặc đại diện của người bị thiệt hại (trong trường hợp người bị thiệt hại mất năng lực hành vi dân sự theo quyết định của Tòa án hoặc chưa thành niên theo quy định của Bộ luật Dân sự), nhưng không vượt quá mức bồi thường quy định tại </w:t>
      </w:r>
      <w:bookmarkStart w:id="25" w:name="bieumau_pl6_1"/>
      <w:r w:rsidRPr="00F1032B">
        <w:rPr>
          <w:rFonts w:ascii="Times New Roman" w:eastAsia="Times New Roman" w:hAnsi="Times New Roman" w:cs="Times New Roman"/>
          <w:color w:val="000000"/>
          <w:sz w:val="26"/>
          <w:szCs w:val="26"/>
        </w:rPr>
        <w:t>Phụ lục VI</w:t>
      </w:r>
      <w:bookmarkEnd w:id="25"/>
      <w:r w:rsidRPr="00F1032B">
        <w:rPr>
          <w:rFonts w:ascii="Times New Roman" w:eastAsia="Times New Roman" w:hAnsi="Times New Roman" w:cs="Times New Roman"/>
          <w:color w:val="000000"/>
          <w:sz w:val="26"/>
          <w:szCs w:val="26"/>
        </w:rPr>
        <w:t> ban hành kèm theo Nghị định này. Trường hợp có quyết định của Tòa án thì căn cứ vào quyết định của Tòa án nhưng không vượt quá mức bồi thường quy định tại </w:t>
      </w:r>
      <w:bookmarkStart w:id="26" w:name="bieumau_pl6_2"/>
      <w:r w:rsidRPr="00F1032B">
        <w:rPr>
          <w:rFonts w:ascii="Times New Roman" w:eastAsia="Times New Roman" w:hAnsi="Times New Roman" w:cs="Times New Roman"/>
          <w:color w:val="000000"/>
          <w:sz w:val="26"/>
          <w:szCs w:val="26"/>
        </w:rPr>
        <w:t>Phụ lục VI</w:t>
      </w:r>
      <w:bookmarkEnd w:id="26"/>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nhiều xe cơ giới gây tai nạn dẫn đến thiệt hại về sức khỏe, tính mạng, mức bồi thường được xác định theo mức độ lỗi của chủ xe cơ giới nhưng tổng mức bồi thường không vượt quá giới hạn trách nhiệm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Đối với vụ tai nạn được cơ quan có thẩm quyền xác định nguyên nhân do lỗi hoàn toàn của người thứ ba, mức bồi thường bảo hiểm về sức khỏe, tính mạng đối với các đối tượng thuộc người thứ ba bằng 50% mức bồi thường quy định tại </w:t>
      </w:r>
      <w:bookmarkStart w:id="27" w:name="bieumau_pl6_3"/>
      <w:r w:rsidRPr="00F1032B">
        <w:rPr>
          <w:rFonts w:ascii="Times New Roman" w:eastAsia="Times New Roman" w:hAnsi="Times New Roman" w:cs="Times New Roman"/>
          <w:color w:val="000000"/>
          <w:sz w:val="26"/>
          <w:szCs w:val="26"/>
        </w:rPr>
        <w:t>Phụ lục VI</w:t>
      </w:r>
      <w:bookmarkEnd w:id="27"/>
      <w:r w:rsidRPr="00F1032B">
        <w:rPr>
          <w:rFonts w:ascii="Times New Roman" w:eastAsia="Times New Roman" w:hAnsi="Times New Roman" w:cs="Times New Roman"/>
          <w:color w:val="000000"/>
          <w:sz w:val="26"/>
          <w:szCs w:val="26"/>
        </w:rPr>
        <w:t> ban hành kèm theo Nghị định này hoặc theo thỏa thuận (nếu có) giữa người được bảo hiểm hoặc người thừa kế của người bị thiệt hại (trong trường hợp người bị thiệt hại đã chết) hoặc đại diện của người bị thiệt hại (trong trường hợp người bị thiệt hại mất năng lực hành vi dân sự theo quyết định của Tòa án hoặc chưa thành niên theo quy định của Bộ luật Dân sự), nhưng không vượt quá 50% mức bồi thường quy định tại </w:t>
      </w:r>
      <w:bookmarkStart w:id="28" w:name="bieumau_pl6_4"/>
      <w:r w:rsidRPr="00F1032B">
        <w:rPr>
          <w:rFonts w:ascii="Times New Roman" w:eastAsia="Times New Roman" w:hAnsi="Times New Roman" w:cs="Times New Roman"/>
          <w:color w:val="000000"/>
          <w:sz w:val="26"/>
          <w:szCs w:val="26"/>
        </w:rPr>
        <w:t>Phụ lục VI</w:t>
      </w:r>
      <w:bookmarkEnd w:id="28"/>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Mức bồi thường cụ thể về thiệt hại đối với tài sản trong một vụ tai nạn được xác định theo thiệt hại thực tế và theo mức độ lỗi của chủ xe cơ giới nhưng không vượt quá giới hạn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Doanh nghiệp bảo hiểm có quyền giảm trừ tối đa 5% số tiền bồi thường thiệt hại đối với tài sản trong trường hợp bên mua bảo hiểm, người được bảo hiểm không thông báo tai nạn cho doanh nghiệp bảo hiểm theo quy định tại khoản 4 Điều này hoặc sau khi xảy ra sự kiện bảo hiểm, doanh nghiệp bảo hiểm phát hiện trong quá trình thực hiện hợp đồng bảo hiểm, bên mua bảo hiểm, người được bảo hiểm không thực hiện nghĩa vụ thông báo khi có sự thay đổi những yếu tố làm cơ sở để tính phí bảo hiểm, dẫn đến tăng các rủi ro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Doanh nghiệp bảo hiểm không có trách nhiệm bồi thường phần vượt quá giới hạn trách nhiệm bảo hiểm theo quy định tại Nghị định này, trừ trường hợp chủ xe cơ giới tham gia hợp đồng bảo hiểm tự nguyện.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Trường hợp nhiều hợp đồng bảo hiểm bắt buộc trách nhiệm dân sự được giao kết cho cùng một xe cơ giới, số tiền bồi thường chỉ được giải quyết theo hợp đồng bảo hiểm giao kết đầu tiên. Doanh nghiệp bảo hiểm phải hoàn lại cho bên mua bảo hiểm 100% phí bảo hiểm đã đóng đối với các hợp đồng bảo hiểm còn lại.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10. Bên mua bảo hiểm, người được bảo hiểm có trách nhiệm thông báo cho người bị thiệt hại hoặc người thừa kế hoặc đại diện của người bị thiệt hại biết số tiền doanh nghiệp bảo hiểm đã trả đối với từng trường hợp thiệt hại về sức khỏe, tính mạng theo quy định tại điểm a khoản 6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Doanh nghiệp bảo hiểm có trách nhiệm thông báo cho bên mua bảo hiểm, người được bảo hiểm, người bị thiệt hại biết số tiền bồi thường thiệt hại về sức khỏe, tính mạng và thanh toán số tiền bồi thường quy định tại điểm a khoản 6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29" w:name="dieu_13"/>
      <w:r w:rsidRPr="00F1032B">
        <w:rPr>
          <w:rFonts w:ascii="Times New Roman" w:eastAsia="Times New Roman" w:hAnsi="Times New Roman" w:cs="Times New Roman"/>
          <w:b/>
          <w:bCs/>
          <w:color w:val="000000"/>
          <w:sz w:val="26"/>
          <w:szCs w:val="26"/>
        </w:rPr>
        <w:t>Điều 13. Hồ sơ bồi thường bảo hiểm</w:t>
      </w:r>
      <w:bookmarkEnd w:id="2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sơ bồi thường bảo hiểm bắt buộc trách nhiệm dân sự của chủ xe cơ giới bao gồm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Tài liệu liên quan đến xe cơ giới, người lái xe (Bản sao được chứng thực từ bản chính hoặc Bản sao có xác nhận của doanh nghiệp bảo hiểm sau khi đã đối chiếu với bản chính hoặc bản ảnh chụp):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Giấy chứng nhận đăng ký xe (hoặc bản sao được chứng thực từ bản chính Giấy chứng nhận đăng ký xe kèm bản gốc Giấy biên nhận của tổ chức tín dụng còn hiệu lực, thay cho bản chính Giấy chứng nhận đăng ký xe trong thời gian tổ chức tín dụng giữ bản chính Giấy chứng nhận đăng ký xe) hoặc chứng từ chuyển quyền sở hữu xe và chứng từ nguồn gốc xe (trường hợp không có Giấy chứng nhận đăng ký xe).</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Giấy phép lái xe.</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Giấy chứng minh nhân dân hoặc thẻ Căn cước công dân hoặc Hộ chiếu hoặc các giấy tờ tùy thân khác của người lái xe.</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Tài liệu chứng minh thiệt hại về sức khỏe, tính mạng (Bản sao của các cơ sở y tế hoặc bản sao có xác nhận của doanh nghiệp bảo hiểm sau khi đã đối chiếu với bản chính hoặc bản ảnh chụp). Tùy theo mức độ thiệt hại về người có thể bao gồm một hoặc một số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Giấy chứng nhận thương tích.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Hồ sơ bệnh 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Trích lục khai tử hoặc Giấy báo tử hoặc văn bản xác nhận của cơ quan Công an hoặc kết quả giám định của cơ quan giám định pháp y đối với trường hợp nạn nhân chết trên phương tiện giao thông, chết do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Tài liệu chứng minh thiệt hại đối với tài sản: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Hóa đơn, chứng từ hợp lệ hoặc bằng chứng chứng minh về việc sửa chữa, thay mới tài sản bị thiệt hại do tai nạn gây ra (trường hợp doanh nghiệp bảo hiểm thực hiện sửa chữa, khắc phục thiệt hại, doanh nghiệp bảo hiểm có trách nhiệm thu thập giấy tờ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 Các giấy tờ, hóa đơn, chứng từ liên quan đến chi phí phát sinh mà chủ xe cơ giới đã chi ra để giảm thiểu tổn thất hay để thực hiện theo chỉ dẫn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Bản sao các tài liệu liên quan của cơ quan Công an trong các vụ tai nạn gây tử vong đối với người thứ ba và hành khách hoặc trường hợp cần xác minh vụ tai nạn có nguyên nhân do lỗi hoàn toàn của người thứ ba, bao gồm: Thông báo kết quả điều tra, xác minh, giải quyết vụ tai nạn hoặc Thông báo kết luận điều tra giải quyết vụ tai nạn.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Biên bản giám định của doanh nghiệp bảo hiểm hoặc người được doanh nghiệp bảo hiểm ủy quyền.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Quyết định của Tòa án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người được bảo hiểm có trách nhiệm thu thập và gửi doanh nghiệp bảo hiểm các tài liệu quy định tại khoản 1, khoản 2, khoản 3, khoản 4 và khoản 7 Điều này. Doanh nghiệp bảo hiểm có trách nhiệm thu thập tài liệu quy định tại khoản 5 và khoản 6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0" w:name="muc_2_2"/>
      <w:r w:rsidRPr="00F1032B">
        <w:rPr>
          <w:rFonts w:ascii="Times New Roman" w:eastAsia="Times New Roman" w:hAnsi="Times New Roman" w:cs="Times New Roman"/>
          <w:b/>
          <w:bCs/>
          <w:color w:val="000000"/>
          <w:sz w:val="26"/>
          <w:szCs w:val="26"/>
        </w:rPr>
        <w:t>Mục 2. CƠ CHẾ QUẢN LÝ, SỬ DỤNG QUỸ BẢO HIỂM XE CƠ GIỚI</w:t>
      </w:r>
      <w:bookmarkEnd w:id="30"/>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1" w:name="dieu_14"/>
      <w:r w:rsidRPr="00F1032B">
        <w:rPr>
          <w:rFonts w:ascii="Times New Roman" w:eastAsia="Times New Roman" w:hAnsi="Times New Roman" w:cs="Times New Roman"/>
          <w:b/>
          <w:bCs/>
          <w:color w:val="000000"/>
          <w:sz w:val="26"/>
          <w:szCs w:val="26"/>
        </w:rPr>
        <w:t>Điều 14. Nguyên tắc quản lý, sử dụng Quỹ bảo hiểm xe cơ giới</w:t>
      </w:r>
      <w:bookmarkEnd w:id="3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Quỹ bảo hiểm xe cơ giới là quỹ được thành lập để thực hiện các hoạt động chi hỗ trợ nhân đạo; công tác đề phòng, hạn chế tổn thất, tai nạn giao thông đường bộ; tuyên truyền, giáo dục về an toàn giao thông đường bộ, bảo hiểm bắt buộc trách nhiệm dân sự của chủ xe cơ giới và các hoạt động liên quan nhằm góp phần bảo vệ lợi ích công cộng và bảo đảm an toàn xã hội.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Quỹ bảo hiểm xe cơ giới do các doanh nghiệp bảo hiểm triển khai bảo hiểm bắt buộc trách nhiệm dân sự của chủ xe cơ giới đóng góp, được quản lý tập trung tại Hiệp hội Bảo hiểm Việt Nam, có tài khoản riêng tại ngân hàng thương mại hoạt động tại Việt Nam và được sử dụng con dấu của Hiệp hội Bảo hiểm Việt Nam.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Quỹ bảo hiểm xe cơ giới được quản lý và sử dụng minh bạch, hiệu quả và đúng mục đích theo quy định tại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2" w:name="dieu_15"/>
      <w:r w:rsidRPr="00F1032B">
        <w:rPr>
          <w:rFonts w:ascii="Times New Roman" w:eastAsia="Times New Roman" w:hAnsi="Times New Roman" w:cs="Times New Roman"/>
          <w:b/>
          <w:bCs/>
          <w:color w:val="000000"/>
          <w:sz w:val="26"/>
          <w:szCs w:val="26"/>
        </w:rPr>
        <w:t>Điều 15. Nguồn hình thành Quỹ bảo hiểm xe cơ giới</w:t>
      </w:r>
      <w:bookmarkEnd w:id="3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Đóng góp của các doanh nghiệp bảo hiểm được phép triển khai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Thu từ lãi tiền gửi.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Các nguồn tài trợ, hỗ trợ của các tổ chức, cá nhân.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Các khoản thu hợp pháp khác (nếu có).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3" w:name="dieu_16"/>
      <w:r w:rsidRPr="00F1032B">
        <w:rPr>
          <w:rFonts w:ascii="Times New Roman" w:eastAsia="Times New Roman" w:hAnsi="Times New Roman" w:cs="Times New Roman"/>
          <w:b/>
          <w:bCs/>
          <w:color w:val="000000"/>
          <w:sz w:val="26"/>
          <w:szCs w:val="26"/>
        </w:rPr>
        <w:t>Điều 16. Đóng góp Quỹ bảo hiểm xe cơ giới</w:t>
      </w:r>
      <w:bookmarkEnd w:id="3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Doanh nghiệp bảo hiểm có trách nhiệm trích tối đa 1% tổng số phí bảo hiểm bắt buộc trách nhiệm dân sự của chủ xe cơ giới thực tế thu được của các hợp đồng bảo hiểm gốc trong năm tài chính trước liền kề để đóng vào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 Trước ngày 30 tháng 4 hàng năm, Hội đồng quản lý Quỹ bảo hiểm xe cơ giới quyết định tỷ lệ đóng góp vào Quỹ bảo hiểm xe cơ giới, thực hiện thông báo cho các doanh nghiệp bảo hiểm và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Doanh nghiệp bảo hiểm triển khai bảo hiểm bắt buộc trách nhiệm dân sự của chủ xe cơ giới thực hiện đóng góp vào tài khoản của Quỹ bảo hiểm xe cơ giới theo thời hạn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Trước ngày 30 tháng 6 hàng năm: Nộp 50% tổng số tiền quy định tại khoản 1 và khoản 2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Trước ngày 31 tháng 12 hàng năm: Nộp số tiền còn lại quy định tại khoản 1 và khoản 2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4" w:name="dieu_17"/>
      <w:r w:rsidRPr="00F1032B">
        <w:rPr>
          <w:rFonts w:ascii="Times New Roman" w:eastAsia="Times New Roman" w:hAnsi="Times New Roman" w:cs="Times New Roman"/>
          <w:b/>
          <w:bCs/>
          <w:color w:val="000000"/>
          <w:sz w:val="26"/>
          <w:szCs w:val="26"/>
        </w:rPr>
        <w:t>Điều 17. Nội dung và tỷ lệ chi của Quỹ bảo hiểm xe cơ giới</w:t>
      </w:r>
      <w:bookmarkEnd w:id="3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Quỹ bảo hiểm xe cơ giới được sử dụng cho các mục đích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Chi hỗ trợ nhân đạo:</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các trường hợp không xác định được xe gây tai nạn, xe không tham gia bảo hiểm, không thuộc phạm vi bảo hiểm và các trường hợp loại trừ trách nhiệm bảo hiểm theo quy định tại </w:t>
      </w:r>
      <w:bookmarkStart w:id="35" w:name="tc_4"/>
      <w:r w:rsidRPr="00F1032B">
        <w:rPr>
          <w:rFonts w:ascii="Times New Roman" w:eastAsia="Times New Roman" w:hAnsi="Times New Roman" w:cs="Times New Roman"/>
          <w:color w:val="0000FF"/>
          <w:sz w:val="26"/>
          <w:szCs w:val="26"/>
        </w:rPr>
        <w:t>khoản 2 Điều 7 Nghị định này</w:t>
      </w:r>
      <w:bookmarkEnd w:id="35"/>
      <w:r w:rsidRPr="00F1032B">
        <w:rPr>
          <w:rFonts w:ascii="Times New Roman" w:eastAsia="Times New Roman" w:hAnsi="Times New Roman" w:cs="Times New Roman"/>
          <w:color w:val="000000"/>
          <w:sz w:val="26"/>
          <w:szCs w:val="26"/>
        </w:rPr>
        <w:t> (trừ hành động cố ý gây thiệt hại của người bị thiệt hại) với mức hỗ trợ cụ thể như sau: 30% giới hạn trách nhiệm bảo hiểm theo quy định cho một người trong một vụ tai nạn đối với trường hợp tử vong và tỷ lệ tổn thương từ 81% trở lên; 10% giới hạn trách nhiệm bảo hiểm theo quy định cho một người trong một vụ tai nạn đối với trường hợp tỷ lệ tổn thương từ 31% đến dưới 81%.</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Sau khi doanh nghiệp bảo hiểm đã thực hiện tạm ứng bồi thường quy định tại </w:t>
      </w:r>
      <w:bookmarkStart w:id="36" w:name="tc_5"/>
      <w:r w:rsidRPr="00F1032B">
        <w:rPr>
          <w:rFonts w:ascii="Times New Roman" w:eastAsia="Times New Roman" w:hAnsi="Times New Roman" w:cs="Times New Roman"/>
          <w:color w:val="0000FF"/>
          <w:sz w:val="26"/>
          <w:szCs w:val="26"/>
        </w:rPr>
        <w:t>điểm b khoản 3 Điều 12 Nghị định này</w:t>
      </w:r>
      <w:bookmarkEnd w:id="36"/>
      <w:r w:rsidRPr="00F1032B">
        <w:rPr>
          <w:rFonts w:ascii="Times New Roman" w:eastAsia="Times New Roman" w:hAnsi="Times New Roman" w:cs="Times New Roman"/>
          <w:color w:val="000000"/>
          <w:sz w:val="26"/>
          <w:szCs w:val="26"/>
        </w:rPr>
        <w:t>, Quỹ bảo hiểm xe cơ giới có trách nhiệm hoàn trả số tiền mà doanh nghiệp bảo hiểm đã tạm ứng bồi thường trong trường hợp tai nạn được xác định thuộc loại trừ trách nhiệm bảo hiểm hoặc không thuộc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Mức chi không vượt quá 30% tổng số tiền đóng vào Quỹ bảo hiểm xe cơ giới hàng năm và số dư Quỹ bảo hiểm xe cơ giới các năm trước (nếu có). Trường hợp trong năm Quỹ bảo hiểm xe cơ giới đã chi hết số tiền được chi hỗ trợ nhân đạo thì các hồ sơ chi hỗ trợ nhân đạo chưa được giải quyết sẽ được chuyển sang chi hỗ trợ nhân đạo của năm kế tiếp.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Hỗ trợ xây dựng công trình, thiết bị đề phòng, hạn chế tổn thất, tai nạn giao thông đường bộ: Mức chi không vượt quá 15% tổng số tiền đóng vào Quỹ bảo hiểm xe cơ giới hàng năm và số dư Quỹ bảo hiểm xe cơ giới các năm trước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Tổ chức tuyên truyền, giáo dục về an toàn giao thông đường bộ và chế độ bảo hiểm bắt buộc trách nhiệm dân sự của chủ xe cơ giới: Mức chi không vượt quá 17% tổng số tiền đóng vào Quỹ bảo hiểm xe cơ giới hàng năm và số dư Quỹ bảo hiểm xe cơ giới các năm trước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d) Chi hỗ trợ cho lực lượng Công an trong công tác phối hợp với Hiệp hội Bảo hiểm Việt Nam, Hội đồng quản lý Quỹ bảo hiểm xe cơ giới và các doanh nghiệp bảo hiểm trong công tác đề phòng, hạn chế tổn thất, phòng chống gian lận trong kinh doanh bảo hiểm và </w:t>
      </w:r>
      <w:r w:rsidRPr="00F1032B">
        <w:rPr>
          <w:rFonts w:ascii="Times New Roman" w:eastAsia="Times New Roman" w:hAnsi="Times New Roman" w:cs="Times New Roman"/>
          <w:color w:val="000000"/>
          <w:sz w:val="26"/>
          <w:szCs w:val="26"/>
        </w:rPr>
        <w:lastRenderedPageBreak/>
        <w:t>thực hiện quy định về bảo hiểm bắt buộc trách nhiệm dân sự của chủ xe cơ giới: Mức chi không vượt quá 10% tổng số tiền đóng vào Quỹ bảo hiểm xe cơ giới hàng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Hỗ trợ khen thưởng thành tích cho các tổ chức, cá nhân có thành tích trong việc thực hiện bảo hiểm bắt buộc trách nhiệm dân sự của chủ xe cơ giới, đề phòng hạn chế tổn thất, tai nạn giao thông, bảo đảm trật tự an toàn giao thông đường bộ: Mức chi không vượt quá 5% tổng số tiền đóng vào Quỹ bảo hiểm xe cơ giới hàng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Chi hoàn thiện, duy trì hoạt động cơ sở dữ liệu về bảo hiểm bắt buộc trách nhiệm dân sự của chủ xe cơ giới: Mức chi không vượt quá 10% tổng số tiền đóng vào Quỹ bảo hiểm xe cơ giới hàng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Chi cho hoạt động của Chương trình bảo hiểm bắt buộc xe cơ giới ASEAN và hoạt động của Cơ quan Quốc gia Việt Nam thực hiện Nghị định thư số 5 về Chương trình bảo hiểm bắt buộc xe cơ giới ASEAN: Mức chi không vượt quá 5% tổng số tiền đóng vào Quỹ bảo hiểm xe cơ giới hàng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Chi quản lý Quỹ bảo hiểm xe cơ giới bao gồm chi lương, phụ cấp, các khoản trích theo lương (bảo hiểm xã hội, bảo hiểm y tế, bảo hiểm thất nghiệp, kinh phí công đoàn) và chi khen thưởng, phúc lợi cho nhân viên Văn phòng Quỹ bảo hiểm xe cơ giới; chi phụ cấp trách nhiệm cho bộ máy quản lý và điều hành Quỹ bảo hiểm xe cơ giới và nhân viên kiêm nhiệm của Văn phòng Quỹ bảo hiểm xe cơ giới; chi phí thuê văn phòng, mua sắm trang thiết bị, chi dịch vụ ngân hàng và bưu điện; chi thuê kiểm toán; chi công tác phí và tổ chức các cuộc họp của Quỹ bảo hiểm xe cơ giới: Mức chi không vượt quá 8% tổng số tiền đóng vào Quỹ bảo hiểm xe cơ giới hàng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Trường hợp có quyết định của Thủ tướng Chính phủ công bố tình huống khẩn cấp về thiên tai theo quy định của pháp luật về phòng, chống thiên tai hoặc công bố dịch bệnh truyền nhiễm thuộc nhóm A theo quy định của pháp luật về phòng, chống bệnh truyền nhiễm, Hội đồng quản lý Quỹ bảo hiểm xe cơ giới có thể sử dụng số dư Quỹ bảo hiểm xe cơ giới các năm trước cho các nội dung chi quy định tại điểm d, điểm đ, điểm e, điểm g, điểm h khoản 1 Điều này; tổng mức chi không vượt quá tỷ lệ quy định tại điểm d, điểm đ, điểm e, điểm g, điểm h khoản 1 Điều này tương ứng với mức đóng góp tối đa 1 % vào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Hiệp hội Bảo hiểm Việt Nam ưu tiên thực hiện các nội dung chi hỗ trợ nhân đạo, chi công tác đề phòng, hạn chế tổn thất, tai nạn giao thông đường bộ và chi tuyên truyền, giáo dục đảm bảo phù hợp với mục tiêu thành lập Quỹ bảo hiểm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7" w:name="dieu_18"/>
      <w:r w:rsidRPr="00F1032B">
        <w:rPr>
          <w:rFonts w:ascii="Times New Roman" w:eastAsia="Times New Roman" w:hAnsi="Times New Roman" w:cs="Times New Roman"/>
          <w:b/>
          <w:bCs/>
          <w:color w:val="000000"/>
          <w:sz w:val="26"/>
          <w:szCs w:val="26"/>
        </w:rPr>
        <w:t>Điều 18. Quản trị, điều hành hoạt động của Quỹ bảo hiểm xe cơ giới</w:t>
      </w:r>
      <w:bookmarkEnd w:id="3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Cơ cấu tổ chức quản trị, điều hành Quỹ bảo hiểm xe cơ giới bao gồm Hội đồng quản lý Quỹ bảo hiểm xe cơ giới, Ban điều hành Quỹ bảo hiểm xe cơ giới, Ban kiểm soát Quỹ bảo hiểm xe cơ giới. Văn phòng Quỹ bảo hiểm xe cơ giới là cơ quan giúp việc cho bộ máy quản trị, điều hành Quỹ bảo hiểm xe cơ giới, được đặt tại cơ quan thường trực Hiệp hội Bảo hiểm Việt Nam. Hội đồng quản lý Quỹ bảo hiểm xe cơ giới được thành lập theo quyết định của Bộ trưởng Bộ Tài chính trên cơ sở đề xuất của Hiệp hội Bảo hiểm Việt Nam.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 Báo cáo quyết toán năm của Quỹ bảo hiểm xe cơ giới (đã được tổ chức kiểm toán độc lập xác nhận) phải được gửi Bộ Tài chính, các doanh nghiệp bảo hiểm trước ngày 31 tháng 3 của năm kế tiếp và công bố công khai trên trang thông tin điện tử của Hiệp hội Bảo hiểm Việt Nam toàn bộ nội dung báo cáo quyết toán năm của Quỹ bảo hiểm xe cơ giới kèm theo ý kiến của tổ chức kiểm toán độc lập.</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8" w:name="dieu_19"/>
      <w:r w:rsidRPr="00F1032B">
        <w:rPr>
          <w:rFonts w:ascii="Times New Roman" w:eastAsia="Times New Roman" w:hAnsi="Times New Roman" w:cs="Times New Roman"/>
          <w:b/>
          <w:bCs/>
          <w:color w:val="000000"/>
          <w:sz w:val="26"/>
          <w:szCs w:val="26"/>
        </w:rPr>
        <w:t>Điều 19. Cơ cấu tổ chức, quản trị điều hành của Quỹ bảo hiểm xe cơ giới</w:t>
      </w:r>
      <w:bookmarkEnd w:id="3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Hội đồng Quản lý Quỹ bảo hiểm xe cơ giới bao gồm: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Chủ tịch Hội đồng quản lý Quỹ bảo hiểm xe cơ giới: Chủ tịch Hiệp hội Bảo hiểm Việt Nam.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Thành viên: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Đại diện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Đại diện Bộ Công 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thư ký Hiệp hội Bảo hiểm Việt Nam.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Giám đốc hoặc Phó Tổng Giám đốc của ít nhất 3 doanh nghiệp bảo hiểm được phép triển khai bảo hiểm bắt buộc trách nhiệm dân sự của chủ xe cơ giới, có thị phần lớn nhất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Ban điều hành Quỹ bảo hiểm xe cơ giới bao gồm: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Trưởng Ban điều hành Quỹ bảo hiểm xe cơ giới: Tổng thư ký Hiệp hội Bảo hiểm Việt Nam.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Thành viên: Đại diện của ít nhất 3 doanh nghiệp bảo hiểm được phép triển khai bảo hiểm bắt buộc trách nhiệm dân sự của chủ xe cơ giới, có thị phần lớn nhất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Ban kiểm soát Quỹ bảo hiểm xe cơ giới bao gồm: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Ít nhất 3 thành viên là đại diện của 3 doanh nghiệp bảo hiểm được phép triển khai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Trưởng Ban kiểm soát Quỹ bảo hiểm xe cơ giới do Chủ tịch Hội đồng quản lý Quỹ bảo hiểm xe cơ giới bổ nhiệm trong số các thành viên của Ban kiểm soát.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Các doanh nghiệp bảo hiểm có thành viên tham gia Ban kiểm soát Quỹ bảo hiểm xe cơ giới phải độc lập với các doanh nghiệp bảo hiểm có thành viên tham gia Ban điều hành Quỹ bảo hiểm xe cơ giới để bảo đảm đánh giá, phát hiện kịp thời các rủi ro có nguy cơ ảnh hưởng đến hiệu quả, nguyên tắc quản lý, sử dụng Quỹ bảo hiểm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39" w:name="dieu_20"/>
      <w:r w:rsidRPr="00F1032B">
        <w:rPr>
          <w:rFonts w:ascii="Times New Roman" w:eastAsia="Times New Roman" w:hAnsi="Times New Roman" w:cs="Times New Roman"/>
          <w:b/>
          <w:bCs/>
          <w:color w:val="000000"/>
          <w:sz w:val="26"/>
          <w:szCs w:val="26"/>
        </w:rPr>
        <w:t>Điều 20. Nhiệm vụ, quyền hạn của tổ chức, bộ máy Quỹ bảo hiểm xe cơ giới</w:t>
      </w:r>
      <w:bookmarkEnd w:id="3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Nhiệm vụ, quyền hạn của Hội đồng quản lý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Chịu trách nhiệm trước pháp luật, trước Bộ trưởng Bộ Tài chính về việc quản lý, điều hành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 Ban hành Quy chế làm việc của Hội đồng quản lý Quỹ bảo hiểm xe cơ giới, Ban điều hành Quỹ bảo hiểm xe cơ giới, Ban kiểm soát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Ban hành các quy định cụ thể về quản lý và sử dụng Quỹ bảo hiểm xe cơ giới; phê duyệt dự toán và quyết toán của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Quyết định tỷ lệ đóng góp vào Quỹ bảo hiểm xe cơ giới, thực hiện thông báo cho các doanh nghiệp bảo hiểm và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Giám sát, quản lý, quản trị, vận hành, khai thác, phát triển và duy trì hoạt động của cơ sở dữ liệu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Xây dựng và triển khai thực hiện các chính sách quản lý, phân quyền, quản trị, cập nhật dữ liệu, khai thác, sử dụng và bảo mật thông tin cơ sở dữ liệu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Phối hợp với các doanh nghiệp bảo hiểm tổng hợp kiến nghị nâng cấp, hoàn thiện cơ sở dữ liệu về bảo hiểm bắt buộc trách nhiệm dân sự của chủ xe cơ giới; thực hiện điều chỉnh, hoàn thiện cấu hình hệ thống và triển khai các dự án kết nối, nâng cấp cơ sở dữ liệu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Kiểm tra, theo dõi, đôn đốc thường xuyên việc cập nhật thông tin, dữ liệu định kỳ của doanh nghiệp bảo hiểm; tiếp nhận, tổng hợp các khó khăn, vướng mắc, kiến nghị của doanh nghiệp bảo hiểm và giải quyết theo quy định.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Chủ trì hướng dẫn các doanh nghiệp bảo hiểm triển khai xây dựng cơ sở dữ liệu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 Ban hành quy trình, thủ tục và hồ sơ chi hỗ trợ nhân đạo, hoàn trả các khoản tiền mà doanh nghiệp bảo hiểm đã tạm ứng bồi thường.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 Ra Quyết định thành lập Ban điều hành Quỹ bảo hiểm xe cơ giới và Ban kiểm soát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 Báo cáo Bộ Tài chính dự toán, quyết toán Quỹ bảo hiểm xe cơ giới đã được phê duyệt.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Nhiệm vụ, quyền hạn của Ban điều hành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Chịu trách nhiệm trước pháp luật, trước Hội đồng quản lý Quỹ bảo hiểm xe cơ giới trong việc quản lý, sử dụng, thanh toán và quyết toán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Chấp hành các quy định về quản lý, sử dụng Quỹ bảo hiểm xe cơ giới đúng kế hoạch được Hội đồng quản lý Quỹ bảo hiểm xe cơ giới phê duyệt, theo đúng quy định tại Nghị định này, không được sử dụng Quỹ bảo hiểm xe cơ giới vào các hoạt động khác ngoài mục đích của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Có trách nhiệm đôn đốc hoặc thu hồi đối với các doanh nghiệp bảo hiểm không đóng góp đúng thời hạn, đúng số tiền theo tỷ lệ quy định.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Nhiệm vụ, quyền hạn của Ban kiểm soát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a) Giám sát hoạt động của Quỹ bảo hiểm xe cơ giới bảo đảm tuân thủ theo đúng quy định của pháp luật và quy định tại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Tổng hợp đánh giá, kiến nghị với Hội đồng quản lý Quỹ bảo hiểm xe cơ giới về tình hình tài chính của Quỹ bảo hiểm xe cơ giới hàng quý, năm.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Thực hiện kiểm tra đối với việc quản lý, sử dụng Quỹ bảo hiểm xe cơ giới theo yêu cầu của Hội đồng quản lý Quỹ bảo hiểm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0" w:name="dieu_21"/>
      <w:r w:rsidRPr="00F1032B">
        <w:rPr>
          <w:rFonts w:ascii="Times New Roman" w:eastAsia="Times New Roman" w:hAnsi="Times New Roman" w:cs="Times New Roman"/>
          <w:b/>
          <w:bCs/>
          <w:color w:val="000000"/>
          <w:sz w:val="26"/>
          <w:szCs w:val="26"/>
        </w:rPr>
        <w:t>Điều 21. Công tác lập dự toán, kế toán, quyết toán của Quỹ bảo hiểm xe cơ giới</w:t>
      </w:r>
      <w:bookmarkEnd w:id="4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Công tác lập dự toán: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Trước ngày 15 tháng 12 hàng năm, Ban điều hành Quỹ bảo hiểm xe cơ giới lập dự toán thu, chi của Quỹ bảo hiểm xe cơ giới bao gồm các nội dung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Tình hình thu, chi của Quỹ bảo hiểm xe cơ giới năm hiện tại.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Kế hoạch thu, chi của Quỹ bảo hiểm xe cơ giới năm kế tiếp.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Ban điều hành Quỹ bảo hiểm xe cơ giới báo cáo dự toán thu, chi của Quỹ bảo hiểm xe cơ giới để Hội đồng quản lý Quỹ bảo hiểm xe cơ giới phê duyệt. Dự toán thu, chi của Quỹ bảo hiểm xe cơ giới phải được thông báo cho Bộ Tài chính và các doanh nghiệp bảo hiểm ngay sau khi phê duyệt.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Các kế hoạch chi theo dự toán chi trong năm, trừ các nội dung chi tại </w:t>
      </w:r>
      <w:bookmarkStart w:id="41" w:name="tc_6"/>
      <w:r w:rsidRPr="00F1032B">
        <w:rPr>
          <w:rFonts w:ascii="Times New Roman" w:eastAsia="Times New Roman" w:hAnsi="Times New Roman" w:cs="Times New Roman"/>
          <w:color w:val="0000FF"/>
          <w:sz w:val="26"/>
          <w:szCs w:val="26"/>
        </w:rPr>
        <w:t>điểm e, điểm g, điểm h khoản 1 Điều 17 Nghị định này</w:t>
      </w:r>
      <w:bookmarkEnd w:id="41"/>
      <w:r w:rsidRPr="00F1032B">
        <w:rPr>
          <w:rFonts w:ascii="Times New Roman" w:eastAsia="Times New Roman" w:hAnsi="Times New Roman" w:cs="Times New Roman"/>
          <w:color w:val="000000"/>
          <w:sz w:val="26"/>
          <w:szCs w:val="26"/>
        </w:rPr>
        <w:t>, đến ngày 31 tháng 12 hàng năm chưa thực hiện hoặc chưa chi hết được tiếp tục thực hiện vào năm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Trường hợp cần thiết, Hội đồng quản lý Quỹ bảo hiểm xe cơ giới có thể điều chỉnh dự toán thu chi đã được thông qua đầu năm và thông báo cho Bộ Tài chính và các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Kế toán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Ban điều hành Quỹ bảo hiểm xe cơ giới phải: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Tổ chức công tác kế toán, thống kê theo đúng quy định của Luật Kế toán, Luật Thống kê và các văn bản hướng dẫn thi hành.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Chấp hành các quy định về chứng từ kế toán; hạch toán kế toán toàn bộ các khoản thu, chi của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Mở sổ kế toán ghi chép, hệ thống và lưu trữ toàn bộ các nghiệp vụ phát sinh liên quan đến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Định kỳ hàng quý có trách nhiệm lập báo cáo thu, chi của Quỹ bảo hiểm xe cơ giới để báo cáo Hội đồng quản lý Quỹ bảo hiểm xe cơ giới phê duyệt và thông báo cho Bộ Tài chính bằng một trong các phương thức gồm gửi trực tiếp hoặc gửi qua dịch vụ bưu chính và gửi qua hệ thống thư điện tử.</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Báo cáo quý: Thời gian chốt số liệu tính từ ngày 01 của tháng đầu tiên kỳ báo cáo đến ngày 30 hoặc 31 của tháng cuối quý thuộc kỳ báo cáo. Thời hạn gửi báo cáo chậm nhất là 30 ngày kể từ ngày kết thúc quý.</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Quyết toán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Hàng năm, Ban điều hành Quỹ bảo hiểm xe cơ giới có trách nhiệm lập báo cáo quyết toán Quỹ bảo hiểm xe cơ giới, có xác nhận của kiểm toán độc lập để báo cáo Hội đồng Quản lý Quỹ bảo hiểm xe cơ giới phê duyệt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2" w:name="dieu_22"/>
      <w:r w:rsidRPr="00F1032B">
        <w:rPr>
          <w:rFonts w:ascii="Times New Roman" w:eastAsia="Times New Roman" w:hAnsi="Times New Roman" w:cs="Times New Roman"/>
          <w:b/>
          <w:bCs/>
          <w:color w:val="000000"/>
          <w:sz w:val="26"/>
          <w:szCs w:val="26"/>
        </w:rPr>
        <w:t>Điều 22. Thành lập Hội đồng quản lý Quỹ bảo hiểm xe cơ giới, thay đổi thành viên Hội đồng quản lý Quỹ bảo hiểm xe cơ giới</w:t>
      </w:r>
      <w:bookmarkEnd w:id="4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Trinh tự thực hiện đề nghị thành lập Hội đồng quản lý, thay đổi thành viên Hội đồng quản lý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Hiệp hội Bảo hiểm Việt Nam (trường hợp thành lập Hội đồng quản lý Quỹ bảo hiểm xe cơ giới), Hội đồng quản lý Quỹ bảo hiểm xe cơ giới (trường hợp thay đổi thành viên Hội đồng quản lý Quỹ bảo hiểm xe cơ giới) lựa chọn phương thức giải quyết thủ tục với Bộ Tài chính thông qua hệ thống dịch vụ công trực tuyến của Bộ Tài chính hoặc nộp hồ sơ trực tiếp hoặc dịch vụ bưu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Trong vòng 10 ngày kể từ ngày nhận đủ hồ sơ hợp lệ, Bộ trưởng Bộ Tài chính ban hành Quyết định thành lập Hội đồng quản lý Quỹ bảo hiểm xe cơ giới, thay đổi thành viên Hội đồng quản lý Quỹ bảo hiểm xe cơ giới. Trường hợp từ chối chấp thuận, Bộ Tài chính có văn bản giải thích rõ lý do.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Hồ sơ đề nghị thành lập Hội đồng quản lý Quỹ bảo hiểm xe cơ giới bao gồm các tài liệu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1 bản chính văn bản đề nghị thành lập Hội đồng quản lý Quỹ bảo hiểm xe cơ giới theo mẫu quy định tại </w:t>
      </w:r>
      <w:bookmarkStart w:id="43" w:name="bieumau_pl8"/>
      <w:r w:rsidRPr="00F1032B">
        <w:rPr>
          <w:rFonts w:ascii="Times New Roman" w:eastAsia="Times New Roman" w:hAnsi="Times New Roman" w:cs="Times New Roman"/>
          <w:color w:val="000000"/>
          <w:sz w:val="26"/>
          <w:szCs w:val="26"/>
        </w:rPr>
        <w:t>Phụ lục VIII</w:t>
      </w:r>
      <w:bookmarkEnd w:id="43"/>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1 bản sao Nghị quyết của Ban chấp hành khối Hiệp hội Bảo hiểm Việt Nam thông qua đề nghị thành lập Hội đồng quản lý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Hồ sơ đề nghị thay đổi thành viên Hội đồng quản lý Quỹ bảo hiểm xe cơ giới bao gồm các tài liệu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1 bản chính văn bản đề nghị thay đổi thành viên Hội đồng quản lý Quỹ bảo hiểm xe cơ giới theo mẫu quy định tại </w:t>
      </w:r>
      <w:bookmarkStart w:id="44" w:name="bieumau_pl9"/>
      <w:r w:rsidRPr="00F1032B">
        <w:rPr>
          <w:rFonts w:ascii="Times New Roman" w:eastAsia="Times New Roman" w:hAnsi="Times New Roman" w:cs="Times New Roman"/>
          <w:color w:val="000000"/>
          <w:sz w:val="26"/>
          <w:szCs w:val="26"/>
        </w:rPr>
        <w:t>Phụ lục IX</w:t>
      </w:r>
      <w:bookmarkEnd w:id="44"/>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1 bản sao Nghị quyết của Hội đồng quản lý Quỹ bảo hiểm xe cơ giới thông qua đề nghị của doanh nghiệp bảo hiểm về thay đổi thành viên Hội đồng quản lý Quỹ bảo hiểm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5" w:name="chuong_3"/>
      <w:r w:rsidRPr="00F1032B">
        <w:rPr>
          <w:rFonts w:ascii="Times New Roman" w:eastAsia="Times New Roman" w:hAnsi="Times New Roman" w:cs="Times New Roman"/>
          <w:b/>
          <w:bCs/>
          <w:color w:val="000000"/>
          <w:sz w:val="26"/>
          <w:szCs w:val="26"/>
        </w:rPr>
        <w:t>Chương III</w:t>
      </w:r>
      <w:bookmarkEnd w:id="45"/>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46" w:name="chuong_3_name"/>
      <w:r w:rsidRPr="00F1032B">
        <w:rPr>
          <w:rFonts w:ascii="Times New Roman" w:eastAsia="Times New Roman" w:hAnsi="Times New Roman" w:cs="Times New Roman"/>
          <w:b/>
          <w:bCs/>
          <w:color w:val="000000"/>
          <w:sz w:val="26"/>
          <w:szCs w:val="26"/>
        </w:rPr>
        <w:t>QUY ĐỊNH VỀ BẢO HIỂM CHÁY, NỔ BẮT BUỘC</w:t>
      </w:r>
      <w:bookmarkEnd w:id="46"/>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7" w:name="muc_1_3"/>
      <w:r w:rsidRPr="00F1032B">
        <w:rPr>
          <w:rFonts w:ascii="Times New Roman" w:eastAsia="Times New Roman" w:hAnsi="Times New Roman" w:cs="Times New Roman"/>
          <w:b/>
          <w:bCs/>
          <w:color w:val="000000"/>
          <w:sz w:val="26"/>
          <w:szCs w:val="26"/>
        </w:rPr>
        <w:t>Mục 1. ĐIỀU KIỆN BẢO HIỂM, MỨC PHÍ BẢO HIỂM, SỐ TIỀN BẢO HIỂM TỐI THIỂU</w:t>
      </w:r>
      <w:bookmarkEnd w:id="47"/>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8" w:name="dieu_23"/>
      <w:r w:rsidRPr="00F1032B">
        <w:rPr>
          <w:rFonts w:ascii="Times New Roman" w:eastAsia="Times New Roman" w:hAnsi="Times New Roman" w:cs="Times New Roman"/>
          <w:b/>
          <w:bCs/>
          <w:color w:val="000000"/>
          <w:sz w:val="26"/>
          <w:szCs w:val="26"/>
        </w:rPr>
        <w:t>Điều 23. Đối tượng bảo hiểm</w:t>
      </w:r>
      <w:bookmarkEnd w:id="4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 Đối tượng bảo hiểm cháy, nổ bắt buộc là toàn bộ tài sản của cơ sở có nguy hiểm về cháy, nổ, bao gồm: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Nhà, công trình và các tài sản gắn liền với nhà, công trình; máy móc, thiết bị.</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Các loại hàng hóa, vật tư (bao gồm cả nguyên vật liệu, bán thành phẩm, thành phẩm).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tượng bảo hiểm và địa điểm của đối tượng bảo hiểm phải được ghi rõ trong hợp đồng bảo hiểm, Giấy chứng nhận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49" w:name="dieu_24"/>
      <w:r w:rsidRPr="00F1032B">
        <w:rPr>
          <w:rFonts w:ascii="Times New Roman" w:eastAsia="Times New Roman" w:hAnsi="Times New Roman" w:cs="Times New Roman"/>
          <w:b/>
          <w:bCs/>
          <w:color w:val="000000"/>
          <w:sz w:val="26"/>
          <w:szCs w:val="26"/>
        </w:rPr>
        <w:t>Điều 24. Số tiền bảo hiểm tối thiểu</w:t>
      </w:r>
      <w:bookmarkEnd w:id="49"/>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Số tiền bảo hiểm cháy, nổ bắt buộc tối thiểu là giá trị tính thành tiền theo giá thị trường của các tài sản quy định tại </w:t>
      </w:r>
      <w:bookmarkStart w:id="50" w:name="tc_7"/>
      <w:r w:rsidRPr="00F1032B">
        <w:rPr>
          <w:rFonts w:ascii="Times New Roman" w:eastAsia="Times New Roman" w:hAnsi="Times New Roman" w:cs="Times New Roman"/>
          <w:color w:val="0000FF"/>
          <w:sz w:val="26"/>
          <w:szCs w:val="26"/>
        </w:rPr>
        <w:t>khoản 1 Điều 23 Nghị định này</w:t>
      </w:r>
      <w:bookmarkEnd w:id="50"/>
      <w:r w:rsidRPr="00F1032B">
        <w:rPr>
          <w:rFonts w:ascii="Times New Roman" w:eastAsia="Times New Roman" w:hAnsi="Times New Roman" w:cs="Times New Roman"/>
          <w:color w:val="000000"/>
          <w:sz w:val="26"/>
          <w:szCs w:val="26"/>
        </w:rPr>
        <w:t> tại thời điểm giao kết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không xác định được giá thị trường của tài sản thì số tiền bảo hiểm cháy, nổ bắt buộc do các bên thỏa thuận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các tài sản quy định tại </w:t>
      </w:r>
      <w:bookmarkStart w:id="51" w:name="tc_8"/>
      <w:r w:rsidRPr="00F1032B">
        <w:rPr>
          <w:rFonts w:ascii="Times New Roman" w:eastAsia="Times New Roman" w:hAnsi="Times New Roman" w:cs="Times New Roman"/>
          <w:color w:val="0000FF"/>
          <w:sz w:val="26"/>
          <w:szCs w:val="26"/>
        </w:rPr>
        <w:t>điểm a khoản 1 Điều 23 Nghị định này</w:t>
      </w:r>
      <w:bookmarkEnd w:id="51"/>
      <w:r w:rsidRPr="00F1032B">
        <w:rPr>
          <w:rFonts w:ascii="Times New Roman" w:eastAsia="Times New Roman" w:hAnsi="Times New Roman" w:cs="Times New Roman"/>
          <w:color w:val="000000"/>
          <w:sz w:val="26"/>
          <w:szCs w:val="26"/>
        </w:rPr>
        <w:t>: Số tiền bảo hiểm là giá trị tính thành tiền của tài sản theo giá trị còn lại hoặc giá trị thay thế của tài sản tại thời điểm giao kết hợp đồng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các tài sản quy định tại </w:t>
      </w:r>
      <w:bookmarkStart w:id="52" w:name="tc_9"/>
      <w:r w:rsidRPr="00F1032B">
        <w:rPr>
          <w:rFonts w:ascii="Times New Roman" w:eastAsia="Times New Roman" w:hAnsi="Times New Roman" w:cs="Times New Roman"/>
          <w:color w:val="0000FF"/>
          <w:sz w:val="26"/>
          <w:szCs w:val="26"/>
        </w:rPr>
        <w:t>điểm b khoản 1 Điều 23 Nghị định này</w:t>
      </w:r>
      <w:bookmarkEnd w:id="52"/>
      <w:r w:rsidRPr="00F1032B">
        <w:rPr>
          <w:rFonts w:ascii="Times New Roman" w:eastAsia="Times New Roman" w:hAnsi="Times New Roman" w:cs="Times New Roman"/>
          <w:color w:val="000000"/>
          <w:sz w:val="26"/>
          <w:szCs w:val="26"/>
        </w:rPr>
        <w:t>: Số tiền bảo hiểm là giá trị tính thành tiền của tài sản căn cứ theo hóa đơn, chứng từ hợp lệ hoặc các tài liệu có liên quan.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53" w:name="dieu_25"/>
      <w:r w:rsidRPr="00F1032B">
        <w:rPr>
          <w:rFonts w:ascii="Times New Roman" w:eastAsia="Times New Roman" w:hAnsi="Times New Roman" w:cs="Times New Roman"/>
          <w:b/>
          <w:bCs/>
          <w:color w:val="000000"/>
          <w:sz w:val="26"/>
          <w:szCs w:val="26"/>
        </w:rPr>
        <w:t>Điều 25. Phạm vi bảo hiểm và loại trừ trách nhiệm bảo hiểm</w:t>
      </w:r>
      <w:bookmarkEnd w:id="5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Phạm vi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trách nhiệm bồi thường bảo hiểm cho các thiệt hại xảy ra đối với đối tượng bảo hiểm quy định tại </w:t>
      </w:r>
      <w:bookmarkStart w:id="54" w:name="tc_10"/>
      <w:r w:rsidRPr="00F1032B">
        <w:rPr>
          <w:rFonts w:ascii="Times New Roman" w:eastAsia="Times New Roman" w:hAnsi="Times New Roman" w:cs="Times New Roman"/>
          <w:color w:val="0000FF"/>
          <w:sz w:val="26"/>
          <w:szCs w:val="26"/>
        </w:rPr>
        <w:t>khoản 1 Điều 23 Nghị định này</w:t>
      </w:r>
      <w:bookmarkEnd w:id="54"/>
      <w:r w:rsidRPr="00F1032B">
        <w:rPr>
          <w:rFonts w:ascii="Times New Roman" w:eastAsia="Times New Roman" w:hAnsi="Times New Roman" w:cs="Times New Roman"/>
          <w:color w:val="000000"/>
          <w:sz w:val="26"/>
          <w:szCs w:val="26"/>
        </w:rPr>
        <w:t> phát sinh từ rủi ro cháy, nổ, trừ các trường hợp quy định tại khoản 2, khoản 3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loại trừ trách nhiệm bảo hiểm đối với cơ sở có nguy hiểm về cháy, nổ theo quy định của pháp luật phòng cháy và chữa cháy (trừ cơ sở hạt nhân): Doanh nghiệp bảo hiểm không có trách nhiệm bồi thường bảo hiểm trong các trường hợp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Động đất, núi lửa phun hoặc những biến động khác của thiên nhiên.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Thiệt hại do những biến cố về chính trị, an ninh và trật tự an toàn xã hội gây ra.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Tài sản bị đốt cháy, làm nổ theo quyết định của cơ quan nhà nước có thẩm quyền.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Tài sản tự lên men hoặc tự tỏa nhiệt; tài sản chịu tác động của một quá trình xử lý có dùng nhiệt.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Sét đánh trực tiếp vào tài sản được bảo hiểm nhưng không gây cháy, nổ.</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Nguyên liệu vũ khí hạt nhân gây cháy, nổ.</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Máy móc, thiết bị điện hay các bộ phận của thiết bị điện bị thiệt hại do chịu tác động trực tiếp của việc chạy quá tải, quá áp lực, đoản mạch, tự đốt nóng, hồ quang điện, rò điện do bất kỳ nguyên nhân nào, kể cả do sét đánh.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h) Thiệt hại do hành động cố ý gây cháy, nổ của người được bảo hiểm; do cố ý vi phạm các quy định về phòng cháy, chữa cháy và là nguyên nhân trực tiếp gây ra cháy, nổ.</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Thiệt hại đối với dữ liệu, phần mềm và các chương trình máy tính.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 Thiệt hại do đốt rừng, bụi cây, đồng cỏ, hoặc đốt cháy với mục đích làm sạch đồng ruộng, đất đai.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Các trường hợp loại trừ trách nhiệm bảo hiểm đối với cơ sở hạt nhân: Doanh nghiệp bảo hiểm và bên mua bảo hiểm thỏa thuận về các trường hợp loại trừ trách nhiệm bảo hiểm trên cơ sở được doanh nghiệp nhận tái bảo hiểm chấp thuận.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55" w:name="dieu_26"/>
      <w:r w:rsidRPr="00F1032B">
        <w:rPr>
          <w:rFonts w:ascii="Times New Roman" w:eastAsia="Times New Roman" w:hAnsi="Times New Roman" w:cs="Times New Roman"/>
          <w:b/>
          <w:bCs/>
          <w:color w:val="000000"/>
          <w:sz w:val="26"/>
          <w:szCs w:val="26"/>
        </w:rPr>
        <w:t>Điều 26. Mức phí bảo hiểm và mức khấu trừ bảo hiểm</w:t>
      </w:r>
      <w:bookmarkEnd w:id="55"/>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cơ sở có nguy hiểm về cháy, nổ (trừ cơ sở hạt nhân) có tổng số tiền bảo hiểm của các tài sản tại một địa điểm dưới 1.000 tỷ đồng: Mức phí bảo hiểm và mức khấu trừ bảo hiểm quy định tại khoản 1 Mục I </w:t>
      </w:r>
      <w:bookmarkStart w:id="56" w:name="bieumau_pl2"/>
      <w:r w:rsidRPr="00F1032B">
        <w:rPr>
          <w:rFonts w:ascii="Times New Roman" w:eastAsia="Times New Roman" w:hAnsi="Times New Roman" w:cs="Times New Roman"/>
          <w:color w:val="000000"/>
          <w:sz w:val="26"/>
          <w:szCs w:val="26"/>
        </w:rPr>
        <w:t>Phụ lục II</w:t>
      </w:r>
      <w:bookmarkEnd w:id="56"/>
      <w:r w:rsidRPr="00F1032B">
        <w:rPr>
          <w:rFonts w:ascii="Times New Roman" w:eastAsia="Times New Roman" w:hAnsi="Times New Roman" w:cs="Times New Roman"/>
          <w:color w:val="000000"/>
          <w:sz w:val="26"/>
          <w:szCs w:val="26"/>
        </w:rPr>
        <w:t> và khoản 1 Mục II </w:t>
      </w:r>
      <w:bookmarkStart w:id="57" w:name="bieumau_pl2_1"/>
      <w:r w:rsidRPr="00F1032B">
        <w:rPr>
          <w:rFonts w:ascii="Times New Roman" w:eastAsia="Times New Roman" w:hAnsi="Times New Roman" w:cs="Times New Roman"/>
          <w:color w:val="000000"/>
          <w:sz w:val="26"/>
          <w:szCs w:val="26"/>
        </w:rPr>
        <w:t>Phụ lục II</w:t>
      </w:r>
      <w:bookmarkEnd w:id="57"/>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Căn cứ vào mức độ rủi ro của đối tượng bảo hiểm, doanh nghiệp bảo hiểm được điều chỉnh tăng hoặc giảm phí bảo hiểm tối đa 25% tính trên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trong năm tài chính trước liền kề, đối tượng bảo hiểm là nguyên nhân trực tiếp dẫn đến số tiền chi bồi thường bảo hiểm gốc lớn hơn doanh thu phí bảo hiểm gốc của bảo hiểm cháy, nổ bắt buộc, trên cơ sở số liệu có xác nhận của chuyên gia tính toán của doanh nghiệp bảo hiểm và xác nhận của tổ chức kiểm toán độc lập, khi tái tục hợp đồng bảo hiểm, doanh nghiệp bảo hiểm và bên mua bảo hiểm có thể thỏa thuận mức phí bảo hiểm và mức khấu trừ bảo hiểm bảo đảm khả năng thanh toán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cơ sở có nguy hiểm về cháy, nổ có tổng số tiền bảo hiểm của các tài sản tại một địa điểm từ 1.000 tỷ đồng trở lên (trừ cơ sở hạt nhân):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và bên mua bảo hiểm có thể thỏa thuận mức phí bảo hiểm và mức khấu trừ bảo hiểm trên cơ sở bằng chứng chứng minh doanh nghiệp, tổ chức bảo hiểm nước ngoài đứng đầu nhận tái bảo hiểm xác nhận. Doanh nghiệp, tổ chức bảo hiểm nước ngoài đứng đầu nhận tái bảo hiểm và doanh nghiệp, tổ chức bảo hiểm nước ngoài nhận tái bảo hiểm từ 10% tổng mức trách nhiệm của mỗi hợp đồng tái bảo hiểm phải đáp ứng quy định tại </w:t>
      </w:r>
      <w:bookmarkStart w:id="58" w:name="tc_11"/>
      <w:r w:rsidRPr="00F1032B">
        <w:rPr>
          <w:rFonts w:ascii="Times New Roman" w:eastAsia="Times New Roman" w:hAnsi="Times New Roman" w:cs="Times New Roman"/>
          <w:color w:val="0000FF"/>
          <w:sz w:val="26"/>
          <w:szCs w:val="26"/>
        </w:rPr>
        <w:t>khoản 9 Điều 4 Nghị định này</w:t>
      </w:r>
      <w:bookmarkEnd w:id="58"/>
      <w:r w:rsidRPr="00F1032B">
        <w:rPr>
          <w:rFonts w:ascii="Times New Roman" w:eastAsia="Times New Roman" w:hAnsi="Times New Roman" w:cs="Times New Roman"/>
          <w:color w:val="000000"/>
          <w:sz w:val="26"/>
          <w:szCs w:val="26"/>
        </w:rPr>
        <w:t>. Trong mọi trường hợp, mức phí bảo hiểm không được thấp hơn mức phí bảo hiểm tương ứng với 1.000 tỷ đồng nhân (x) 75% tỷ lệ phí bảo hiểm quy định tại khoản 1 Mục I </w:t>
      </w:r>
      <w:bookmarkStart w:id="59" w:name="bieumau_pl2_2"/>
      <w:r w:rsidRPr="00F1032B">
        <w:rPr>
          <w:rFonts w:ascii="Times New Roman" w:eastAsia="Times New Roman" w:hAnsi="Times New Roman" w:cs="Times New Roman"/>
          <w:color w:val="000000"/>
          <w:sz w:val="26"/>
          <w:szCs w:val="26"/>
        </w:rPr>
        <w:t>Phụ lục II</w:t>
      </w:r>
      <w:bookmarkEnd w:id="59"/>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3. Đối với cơ sở hạt nhân: Doanh nghiệp bảo hiểm và bên mua bảo hiểm có thể thỏa thuận quy tắc, điều khoản, phí bảo hiểm và mức khấu trừ bảo hiểm trên cơ sở bằng chứng chứng minh doanh nghiệp, tổ chức bảo hiểm nước ngoài đứng đầu nhận tái bảo hiểm xác nhận nhận tái bảo hiểm theo đúng quy tắc, điều khoản, phí bảo hiểm và mức khấu trừ bảo hiểm mà doanh nghiệp bảo hiểm cung cấp cho bên mua bảo hiểm. Doanh nghiệp, tổ chức bảo hiểm nước ngoài đứng đầu nhận tái bảo hiểm và doanh nghiệp, tổ chức bảo hiểm </w:t>
      </w:r>
      <w:r w:rsidRPr="00F1032B">
        <w:rPr>
          <w:rFonts w:ascii="Times New Roman" w:eastAsia="Times New Roman" w:hAnsi="Times New Roman" w:cs="Times New Roman"/>
          <w:color w:val="000000"/>
          <w:sz w:val="26"/>
          <w:szCs w:val="26"/>
        </w:rPr>
        <w:lastRenderedPageBreak/>
        <w:t>nước ngoài nhận tái bảo hiểm từ 10% tổng mức trách nhiệm của mỗi hợp đồng tái bảo hiểm phải đáp ứng quy định tại </w:t>
      </w:r>
      <w:bookmarkStart w:id="60" w:name="tc_12"/>
      <w:r w:rsidRPr="00F1032B">
        <w:rPr>
          <w:rFonts w:ascii="Times New Roman" w:eastAsia="Times New Roman" w:hAnsi="Times New Roman" w:cs="Times New Roman"/>
          <w:color w:val="0000FF"/>
          <w:sz w:val="26"/>
          <w:szCs w:val="26"/>
        </w:rPr>
        <w:t>khoản 9 Điều 4 Nghị định này</w:t>
      </w:r>
      <w:bookmarkEnd w:id="60"/>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1" w:name="dieu_27"/>
      <w:r w:rsidRPr="00F1032B">
        <w:rPr>
          <w:rFonts w:ascii="Times New Roman" w:eastAsia="Times New Roman" w:hAnsi="Times New Roman" w:cs="Times New Roman"/>
          <w:b/>
          <w:bCs/>
          <w:color w:val="000000"/>
          <w:sz w:val="26"/>
          <w:szCs w:val="26"/>
        </w:rPr>
        <w:t>Điều 27. Giấy chứng nhận bảo hiểm</w:t>
      </w:r>
      <w:bookmarkEnd w:id="6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Doanh nghiệp bảo hiểm phải cấp Giấy chứng nhận bảo hiểm cháy, nổ bắt buộc cho bên mua bảo hiểm. Giấy chứng nhận bảo hiểm cháy, nổ bắt buộc do doanh nghiệp bảo hiểm chủ động thiết kế và phải bao gồm các nội dung sau đây: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Tên, địa chỉ, số điện thoại (nếu có) của bên mua bảo hiểm,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Tên, địa chỉ, số điện thoại đường dây nóng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Tên cơ sở có nguy hiểm về cháy, nổ theo quy định của pháp luật phòng cháy và chữa cháy.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Địa điểm của đối tượng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Tài sản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Số tiền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Mức khấu trừ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Thời hạn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Tỷ lệ phí bảo hiểm,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 Ngày, tháng, năm cấp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 Mã số, mã vạch được đăng ký, quản lý và sử dụng theo quy định của pháp luật để lưu trữ, chuyển tải và truy xuất thông tin định danh doanh nghiệp bảo hiểm và định danh sản phẩm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cấp Giấy chứng nhận bảo hiểm điện tử, doanh nghiệp bảo hiểm phải tuân thủ các quy định của Luật Giao dịch điện tử và các văn bản hướng dẫn thi hành; Giấy chứng nhận bảo hiểm điện tử phải tuân thủ đầy đủ các quy định hiện hành và phản ánh đầy đủ các nội dung quy định tại khoản 1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2" w:name="dieu_28"/>
      <w:r w:rsidRPr="00F1032B">
        <w:rPr>
          <w:rFonts w:ascii="Times New Roman" w:eastAsia="Times New Roman" w:hAnsi="Times New Roman" w:cs="Times New Roman"/>
          <w:b/>
          <w:bCs/>
          <w:color w:val="000000"/>
          <w:sz w:val="26"/>
          <w:szCs w:val="26"/>
        </w:rPr>
        <w:t>Điều 28. Nguyên tắc bồi thường bảo hiểm</w:t>
      </w:r>
      <w:bookmarkEnd w:id="6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xảy ra tổn thất, bên mua bảo hiểm lập tức thông báo ngay cho doanh nghiệp bảo hiểm bằng các phương tiện thông tin liên lạc, sau đó trong thời hạn 14 ngày kể từ ngày xảy ra tổn thất đối với cơ sở có nguy hiểm về cháy, nổ phải thông báo bằng văn bản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Số tiền bồi thường bảo hiểm đối với tài sản bị thiệt hại không vượt quá số tiền bảo hiểm của tài sản đó (đã được thỏa thuận và ghi trong hợp đồng bảo hiểm, Giấy chứng nhận bảo hiểm) trừ đi mức giảm trừ bảo hiểm quy định tại khoản 3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3. Giảm trừ tối đa 20% số tiền bồi thường bảo hiểm trong trường hợp cơ sở có nguy hiểm về cháy, nổ không thực hiện đầy đủ, đúng thời hạn các kiến nghị tại Biên bản kiểm tra an </w:t>
      </w:r>
      <w:r w:rsidRPr="00F1032B">
        <w:rPr>
          <w:rFonts w:ascii="Times New Roman" w:eastAsia="Times New Roman" w:hAnsi="Times New Roman" w:cs="Times New Roman"/>
          <w:color w:val="000000"/>
          <w:sz w:val="26"/>
          <w:szCs w:val="26"/>
        </w:rPr>
        <w:lastRenderedPageBreak/>
        <w:t>toàn về phòng cháy, chữa cháy của cơ quan Công an có thẩm quyền, dẫn đến tăng thiệt hại khi xảy ra cháy, nổ.</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3" w:name="dieu_29"/>
      <w:r w:rsidRPr="00F1032B">
        <w:rPr>
          <w:rFonts w:ascii="Times New Roman" w:eastAsia="Times New Roman" w:hAnsi="Times New Roman" w:cs="Times New Roman"/>
          <w:b/>
          <w:bCs/>
          <w:color w:val="000000"/>
          <w:sz w:val="26"/>
          <w:szCs w:val="26"/>
        </w:rPr>
        <w:t>Điều 29. Hồ sơ bồi thường bảo hiểm</w:t>
      </w:r>
      <w:bookmarkEnd w:id="6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sơ bồi thường bảo hiểm cháy, nổ bắt buộc bao gồm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 của bên mua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Tài liệu liên quan đến đối tượng bảo hiểm, bao gồm: Hợp đồng bảo hiểm,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Biên bản kiểm tra an toàn về phòng cháy và chữa cháy của cơ quan Công an có thẩm quyền tại thời điểm gần nhất thời điểm xảy ra sự kiện bảo hiểm (bản sao).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Biên bản giám định của doanh nghiệp bảo hiểm hoặc người được doanh nghiệp bảo hiểm ủy quyền.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Vản bản kết luận hoặc thông báo về nguyên nhân vụ cháy, nổ của cơ quan có thẩm quyền (bản sao) hoặc các bằng chứng chứng minh nguyên nhân vụ cháy, nổ.</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Bản kê khai thiệt hại và các giấy tờ chứng minh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có trách nhiệm thu thập và gửi doanh nghiệp bảo hiểm các tài liệu quy định tại khoản 1, khoản 2, khoản 3, khoản 5 và khoản 6 Điều này. Doanh nghiệp bảo hiểm có trách nhiệm thu thập tài liệu quy định tại khoản 4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4" w:name="muc_2_3"/>
      <w:r w:rsidRPr="00F1032B">
        <w:rPr>
          <w:rFonts w:ascii="Times New Roman" w:eastAsia="Times New Roman" w:hAnsi="Times New Roman" w:cs="Times New Roman"/>
          <w:b/>
          <w:bCs/>
          <w:color w:val="000000"/>
          <w:sz w:val="26"/>
          <w:szCs w:val="26"/>
        </w:rPr>
        <w:t>Mục 2. MỨC THU, CHẾ ĐỘ QUẢN LÝ, SỬ DỤNG NGUỒN THU TỪ BẢO HIỂM CHÁY, NỔ BẮT BUỘC CHO HOẠT ĐỘNG PHÒNG CHÁY VÀ CHỮA CHÁY</w:t>
      </w:r>
      <w:bookmarkEnd w:id="64"/>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5" w:name="dieu_30"/>
      <w:r w:rsidRPr="00F1032B">
        <w:rPr>
          <w:rFonts w:ascii="Times New Roman" w:eastAsia="Times New Roman" w:hAnsi="Times New Roman" w:cs="Times New Roman"/>
          <w:b/>
          <w:bCs/>
          <w:color w:val="000000"/>
          <w:sz w:val="26"/>
          <w:szCs w:val="26"/>
        </w:rPr>
        <w:t>Điều 30. Mức thu, nộp từ bảo hiểm cháy, nổ bắt buộc cho hoạt động phòng cháy và chữa cháy</w:t>
      </w:r>
      <w:bookmarkEnd w:id="6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thu từ doanh nghiệp bảo hiểm triển khai bảo hiểm cháy, nổ bắt buộc trong năm tài chính là 1% tổng số phí bảo hiểm cháy, nổ bắt buộc thực tế thu được của các hợp đồng bảo hiểm gốc trong năm tài chính trước liền kề.</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Hàng năm, doanh nghiệp bảo hiểm có trách nhiệm nộp số tiền quy định tại khoản 1 Điều này vào Tài khoản của Cục Cảnh sát phòng cháy, chữa cháy và cứu nạn, cứu hộ do Bộ Công an mở tại Kho bạc Nhà nước Trung ương theo thời hạn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Trước ngày 30 tháng 6 hàng năm: Nộp 50% tổng số tiền quy định tại khoản 1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Trước ngày 31 tháng 12 hàng năm: Nộp số tiền còn lại quy định tại khoản 1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6" w:name="dieu_31"/>
      <w:r w:rsidRPr="00F1032B">
        <w:rPr>
          <w:rFonts w:ascii="Times New Roman" w:eastAsia="Times New Roman" w:hAnsi="Times New Roman" w:cs="Times New Roman"/>
          <w:b/>
          <w:bCs/>
          <w:color w:val="000000"/>
          <w:sz w:val="26"/>
          <w:szCs w:val="26"/>
        </w:rPr>
        <w:t>Điều 31. Chế độ quản lý, sử dụng nguồn thu từ bảo hiểm cháy, nổ bắt buộc</w:t>
      </w:r>
      <w:bookmarkEnd w:id="66"/>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Việc quản lý, sử dụng nguồn thu từ bảo hiểm cháy, nổ bắt buộc phải bảo đảm minh bạch, đúng mục đích theo quy định tại Nghị định này và quy định pháp luật có liên quan.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Nguồn thu từ bảo hiểm cháy, nổ bắt buộc cho hoạt động phòng cháy và chữa cháy được sử dụng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a) Chi hỗ trợ mua sắm trang bị phương tiện, thiết bị phòng cháy, chữa cháy cho lực lượng Cảnh sát phòng cháy và chữa cháy: Tối đa không quá 65% số tiền thực tế thu được từ bảo hiểm cháy, nổ bắt buộc của các doanh nghiệp bảo hiểm trong năm tài chính. Việc mua sắm trang thiết bị phương tiện, thiết bị phòng cháy, chữa cháy thực hiện theo quy định của pháp luật về đấu thầu.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Chi hỗ trợ tuyên truyền, phổ biến pháp luật, kiến thức phòng cháy, chữa cháy và bảo hiểm cháy, nổ bắt buộc: Tối đa không quá 15% số tiền thực tế thu được từ bảo hiểm cháy, nổ bắt buộc của các doanh nghiệp bảo hiểm trong năm tài chính. Nội dung và mức chi tuyên truyền, phổ biến pháp luật, kiến thức thực hiện theo quy định của pháp luật về quản lý, sử dụng và quyết toán kinh phí bảo đảm cho công tác phổ biến, giáo dục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Chi hỗ trợ lực lượng Cảnh sát phòng cháy và chữa cháy trong các hoạt động điều tra nguyên nhân vụ cháy; bồi dưỡng nghiệp vụ, kiểm tra an toàn về phòng cháy và chữa cháy; giám sát việc tham gia bảo hiểm cháy, nổ bắt buộc của các cơ sở có nguy hiểm về cháy, nổ: Tối đa không quá 15% số tiền thực tế thu được từ bảo hiểm cháy, nổ bắt buộc của các doanh nghiệp bảo hiểm trong năm tài chính. Nội dung chi, mức chi thực hiện theo chế độ chi tiêu tài chính hiện hành.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Chi hỗ trợ khen thưởng thành tích của tổ chức, cá nhân trực tiếp tham gia, phối hợp trong công tác phòng cháy, chữa cháy: Tối đa không quá 5% số tiền thực tế thu được từ bảo hiểm cháy, nổ bắt buộc của các doanh nghiệp bảo hiểm trong năm tài chính. Trong đó: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Chi khen thưởng thường xuyên: Thực hiện theo quy định của pháp luật về thi đua, khen thưởng.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Chi khen thưởng đột xuất cho các tổ chức, cá nhân trực tiếp tham gia phòng cháy, chữa cháy: Bộ trưởng Bộ Công an căn cứ thành tích của các tổ chức, cá nhân, nguồn thu từ bảo hiểm cháy, nổ bắt buộc quyết định những trường hợp cụ thể được khen thưởng và mức khen thưởng đột xuất.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Hàng năm, cùng thời điểm lập dự toán ngân sách nhà nước hàng năm, Bộ Công an lập dự toán thu từ phí bảo hiểm cháy, nổ bắt buộc, tổng hợp chung vào dự toán của Bộ Công an, gửi Bộ Tài chính theo quy định của Luật Ngân sách nhà nước và các văn bản hướng dẫn để tổng hợp, theo dõi.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Việc quản lý và sử dụng kinh phí theo đúng quy định về chế độ, định mức, tiêu chuẩn hiện hành. Bộ Công an có trách nhiệm xét duyệt, thẩm định quyết toán năm đối với nguồn kinh phí thu từ bảo hiểm cháy, nổ bắt buộc cho các đơn vị trực thuộc; tổng hợp và lập báo cáo quyết toán năm vào nguồn kinh phí khác được để lại, gửi Bộ Tài chính cùng với thời điểm nộp báo cáo quyết toán ngân sách nhà nước để tổng hợp, theo dõi.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5. Số tiền thực tế thu được từ bảo hiểm cháy, nổ bắt buộc cho hoạt động phòng cháy, chữa cháy cuối năm chưa sử dụng hết cho từng nội dung quy định tại khoản 2 Điều này được chuyển sang năm sau để tiếp tục sử dụng theo quy định của pháp luật. Sau 5 năm, trường hợp kinh phí thu được từ bảo hiểm cháy, nổ bắt buộc không sử dụng hết, Bộ Công </w:t>
      </w:r>
      <w:r w:rsidRPr="00F1032B">
        <w:rPr>
          <w:rFonts w:ascii="Times New Roman" w:eastAsia="Times New Roman" w:hAnsi="Times New Roman" w:cs="Times New Roman"/>
          <w:color w:val="000000"/>
          <w:sz w:val="26"/>
          <w:szCs w:val="26"/>
        </w:rPr>
        <w:lastRenderedPageBreak/>
        <w:t>an chủ trì, phối hợp với Bộ Tài chính rà soát, đánh giá nguồn thu từ bảo hiểm cháy, nổ bắt buộc, báo cáo Chính phủ điều chỉnh tỷ lệ trích nộp cho phù hợp.</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7" w:name="chuong_4"/>
      <w:r w:rsidRPr="00F1032B">
        <w:rPr>
          <w:rFonts w:ascii="Times New Roman" w:eastAsia="Times New Roman" w:hAnsi="Times New Roman" w:cs="Times New Roman"/>
          <w:b/>
          <w:bCs/>
          <w:color w:val="000000"/>
          <w:sz w:val="26"/>
          <w:szCs w:val="26"/>
        </w:rPr>
        <w:t>Chương IV</w:t>
      </w:r>
      <w:bookmarkEnd w:id="67"/>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68" w:name="chuong_4_name"/>
      <w:r w:rsidRPr="00F1032B">
        <w:rPr>
          <w:rFonts w:ascii="Times New Roman" w:eastAsia="Times New Roman" w:hAnsi="Times New Roman" w:cs="Times New Roman"/>
          <w:b/>
          <w:bCs/>
          <w:color w:val="000000"/>
          <w:sz w:val="26"/>
          <w:szCs w:val="26"/>
        </w:rPr>
        <w:t>QUY ĐỊNH VỀ BẢO HIỂM BẮT BUỘC TRONG HOẠT ĐỘNG ĐẦU TƯ XÂY DỰNG</w:t>
      </w:r>
      <w:bookmarkEnd w:id="68"/>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69" w:name="muc_1_4"/>
      <w:r w:rsidRPr="00F1032B">
        <w:rPr>
          <w:rFonts w:ascii="Times New Roman" w:eastAsia="Times New Roman" w:hAnsi="Times New Roman" w:cs="Times New Roman"/>
          <w:b/>
          <w:bCs/>
          <w:color w:val="000000"/>
          <w:sz w:val="26"/>
          <w:szCs w:val="26"/>
        </w:rPr>
        <w:t>Mục 1. ĐIỀU KIỆN BẢO HIỂM, MỨC PHÍ BẢO HIỂM, SỐ TIỀN BẢO HIỂM TỐI THIỂU ĐỐI VỚI BẢO HIỂM BẮT BUỘC CÔNG TRÌNH TRONG THỜI GIAN XÂY DỰNG</w:t>
      </w:r>
      <w:bookmarkEnd w:id="69"/>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0" w:name="dieu_32"/>
      <w:r w:rsidRPr="00F1032B">
        <w:rPr>
          <w:rFonts w:ascii="Times New Roman" w:eastAsia="Times New Roman" w:hAnsi="Times New Roman" w:cs="Times New Roman"/>
          <w:b/>
          <w:bCs/>
          <w:color w:val="000000"/>
          <w:sz w:val="26"/>
          <w:szCs w:val="26"/>
        </w:rPr>
        <w:t>Điều 32. Đối tượng bảo hiểm</w:t>
      </w:r>
      <w:bookmarkEnd w:id="7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Chủ đầu tư có trách nhiệm mua bảo hiểm bắt buộc công trình trong thời gian xây dựng đối với các công trình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Công trình, hạng mục công trình có ảnh hưởng lớn đến an toàn, lợi ích cộng đồng quy định tại </w:t>
      </w:r>
      <w:bookmarkStart w:id="71" w:name="bieumau_pl10_nd_15_2021"/>
      <w:r w:rsidRPr="00F1032B">
        <w:rPr>
          <w:rFonts w:ascii="Times New Roman" w:eastAsia="Times New Roman" w:hAnsi="Times New Roman" w:cs="Times New Roman"/>
          <w:color w:val="000000"/>
          <w:sz w:val="26"/>
          <w:szCs w:val="26"/>
        </w:rPr>
        <w:t>Phụ lục X</w:t>
      </w:r>
      <w:bookmarkEnd w:id="71"/>
      <w:r w:rsidRPr="00F1032B">
        <w:rPr>
          <w:rFonts w:ascii="Times New Roman" w:eastAsia="Times New Roman" w:hAnsi="Times New Roman" w:cs="Times New Roman"/>
          <w:color w:val="000000"/>
          <w:sz w:val="26"/>
          <w:szCs w:val="26"/>
        </w:rPr>
        <w:t> Nghị định số 15/2021/NĐ-CP ngày 03 tháng 3 năm 2021 của Chính phủ quy định chi tiết một số nội dung về quản lý dự án đầu tư xây dựng.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Công trình đầu tư xây dựng có nguy cơ tác động xấu đến môi trường ở mức độ cao hoặc có nguy cơ tác động xấu đến môi trường quy định tại </w:t>
      </w:r>
      <w:bookmarkStart w:id="72" w:name="bieumau_pl3_nd_08_2022"/>
      <w:r w:rsidRPr="00F1032B">
        <w:rPr>
          <w:rFonts w:ascii="Times New Roman" w:eastAsia="Times New Roman" w:hAnsi="Times New Roman" w:cs="Times New Roman"/>
          <w:color w:val="000000"/>
          <w:sz w:val="26"/>
          <w:szCs w:val="26"/>
        </w:rPr>
        <w:t>Phụ lục III</w:t>
      </w:r>
      <w:bookmarkEnd w:id="72"/>
      <w:r w:rsidRPr="00F1032B">
        <w:rPr>
          <w:rFonts w:ascii="Times New Roman" w:eastAsia="Times New Roman" w:hAnsi="Times New Roman" w:cs="Times New Roman"/>
          <w:color w:val="000000"/>
          <w:sz w:val="26"/>
          <w:szCs w:val="26"/>
        </w:rPr>
        <w:t> và </w:t>
      </w:r>
      <w:bookmarkStart w:id="73" w:name="bieumau_pl4_nd_08_2022"/>
      <w:r w:rsidRPr="00F1032B">
        <w:rPr>
          <w:rFonts w:ascii="Times New Roman" w:eastAsia="Times New Roman" w:hAnsi="Times New Roman" w:cs="Times New Roman"/>
          <w:color w:val="000000"/>
          <w:sz w:val="26"/>
          <w:szCs w:val="26"/>
        </w:rPr>
        <w:t>Phụ lục IV</w:t>
      </w:r>
      <w:bookmarkEnd w:id="73"/>
      <w:r w:rsidRPr="00F1032B">
        <w:rPr>
          <w:rFonts w:ascii="Times New Roman" w:eastAsia="Times New Roman" w:hAnsi="Times New Roman" w:cs="Times New Roman"/>
          <w:color w:val="000000"/>
          <w:sz w:val="26"/>
          <w:szCs w:val="26"/>
        </w:rPr>
        <w:t> Nghị định số 08/2022/NĐ-CP ngày 10 tháng 01 năm 2022 của Chính phủ quy định chi tiết một số điều của Luật Bảo vệ môi trường và thuộc danh mục dự án đầu tư phải thực hiện đánh giá tác động môi trường theo quy định tại Luật Bảo vệ môi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Công trình có yêu cầu kỹ thuật đặc thù, điều kiện thi công xây dựng phức tạp theo quy định của pháp luật về xây dựng và pháp luật khác có liên quan.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4" w:name="dieu_33"/>
      <w:r w:rsidRPr="00F1032B">
        <w:rPr>
          <w:rFonts w:ascii="Times New Roman" w:eastAsia="Times New Roman" w:hAnsi="Times New Roman" w:cs="Times New Roman"/>
          <w:b/>
          <w:bCs/>
          <w:color w:val="000000"/>
          <w:sz w:val="26"/>
          <w:szCs w:val="26"/>
        </w:rPr>
        <w:t>Điều 33. Số tiền bảo hiểm tối thiểu</w:t>
      </w:r>
      <w:bookmarkEnd w:id="7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bảo hiểm tối thiểu đối với bảo hiểm bắt buộc công trình trong thời gian xây dựng là giá trị đầy đủ của công trình khi hoàn thành, bao gồm toàn bộ vật liệu, chi phí nhân công, thiết bị lắp đặt vào công trình, cước phí vận chuyển, các loại thuế, phí khác và các hạng mục khác do chủ đầu tư cung cấp. Số tiền bảo hiểm tối thiểu đối với công trình trong thời gian xây dựng không được thấp hơn tổng giá trị hợp đồng xây dựng, kể cả giá trị điều chỉnh, bổ sung (nếu có).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5" w:name="dieu_34"/>
      <w:r w:rsidRPr="00F1032B">
        <w:rPr>
          <w:rFonts w:ascii="Times New Roman" w:eastAsia="Times New Roman" w:hAnsi="Times New Roman" w:cs="Times New Roman"/>
          <w:b/>
          <w:bCs/>
          <w:color w:val="000000"/>
          <w:sz w:val="26"/>
          <w:szCs w:val="26"/>
        </w:rPr>
        <w:t>Điều 34. Phạm vi bảo hiểm và loại trừ trách nhiệm bảo hiểm</w:t>
      </w:r>
      <w:bookmarkEnd w:id="7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trách nhiệm bồi thường cho các tổn thất của công trình trong thời gian xây dựng phát sinh từ mọi rủi ro, trừ các loại trừ trách nhiệm bảo hiểm theo quy định tại khoản 2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không có trách nhiệm bồi thường bảo hiểm trong các trường hợp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a) Tổn thất phát sinh do chiến tranh, bạo loạn, đình công, hành động của các thế lực thù địch, nổi loạn, hành động ác ý nhân danh hoặc có liên quan tới các tổ chức chính trị, tịch </w:t>
      </w:r>
      <w:r w:rsidRPr="00F1032B">
        <w:rPr>
          <w:rFonts w:ascii="Times New Roman" w:eastAsia="Times New Roman" w:hAnsi="Times New Roman" w:cs="Times New Roman"/>
          <w:color w:val="000000"/>
          <w:sz w:val="26"/>
          <w:szCs w:val="26"/>
        </w:rPr>
        <w:lastRenderedPageBreak/>
        <w:t>biên, sung công, trưng dụng, trưng thu hay phá hủy hoặc bị gây thiệt hại theo lệnh của cơ quan nhà nước có thẩm quyền.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Tổn thất phát sinh do hành động khủng bố.</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Tổn thất phát sinh do phản ứng hạt nhân, phóng xạ hạt nhân, nhiễm phóng xạ.</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Tổn thất hoặc thiệt hại của bên mua bảo hiểm và người được bảo hiểm có tên trong danh sách cấm vận.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Tổn thất hoặc thiệt hại có liên quan đến dịch bệnh theo công bố của cơ quan có thẩm quyền.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Tổn thất phát sinh từ hành vi cố ý vi phạm pháp luật của bên mua bảo hiểm hoặc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Tổn thất phát sinh trong trường hợp bên mua bảo hiểm không có quyền lợi có thể được bảo hiểm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Tổn thất phát sinh do ngừng công việc thi công xây dựng hoặc tổn thất do hậu quả của ngừng công việc thi công xây dựng (dù là ngừng một phần hoặc toàn bộ công việc thi công).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i) Tổn thất đối với dữ liệu, phần mềm và các chương trình máy tính.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 Tổn thất phát sinh do lỗi thiết kế của nhà thầu tư vấn đầu tư xây dựng đối với công trình xây dựng từ cấp II trở lên.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 Tổn thất do hiện tượng ăn mòn, mài mòn, ôxy hóa.</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 Tổn thất do hiện tượng mục rữa và diễn ra trong điều kiện áp suất, nhiệt độ bình thường (quy định này chỉ áp dụng đối với các công trình xây dựng quy định tại </w:t>
      </w:r>
      <w:bookmarkStart w:id="76" w:name="tc_13"/>
      <w:r w:rsidRPr="00F1032B">
        <w:rPr>
          <w:rFonts w:ascii="Times New Roman" w:eastAsia="Times New Roman" w:hAnsi="Times New Roman" w:cs="Times New Roman"/>
          <w:color w:val="0000FF"/>
          <w:sz w:val="26"/>
          <w:szCs w:val="26"/>
        </w:rPr>
        <w:t>điểm a khoản 1 Điều 37 Nghị định này</w:t>
      </w:r>
      <w:bookmarkEnd w:id="76"/>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 Tổn thất do hiện tượng kết tạo vẩy cứng như han gỉ, đóng cặn hoặc các hiện tượng tương tự khác (quy định này chỉ áp dụng đối với các công trình xây dựng quy định tại </w:t>
      </w:r>
      <w:bookmarkStart w:id="77" w:name="tc_14"/>
      <w:r w:rsidRPr="00F1032B">
        <w:rPr>
          <w:rFonts w:ascii="Times New Roman" w:eastAsia="Times New Roman" w:hAnsi="Times New Roman" w:cs="Times New Roman"/>
          <w:color w:val="0000FF"/>
          <w:sz w:val="26"/>
          <w:szCs w:val="26"/>
        </w:rPr>
        <w:t>điểm b khoản 1 Điều 37 Nghị định này</w:t>
      </w:r>
      <w:bookmarkEnd w:id="77"/>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o) Chi phí sửa chữa, thay thế, chỉnh sửa khuyết tật của nguyên vật liệu hoặc lỗi tay nghề. Loại trừ này chỉ áp dụng đối với tổn thất của các hạng mục bị ảnh hưởng trực tiếp, không áp dụng đối với tổn thất của các hạng mục khác là hậu quả gián tiếp do khuyết tật của nguyên vật liệu hoặc lỗi tay nghề mà thi công đúng.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p) Tổn thất hay thiệt hại chỉ phát hiện được vào thời điểm kiểm kê.</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8" w:name="dieu_35"/>
      <w:r w:rsidRPr="00F1032B">
        <w:rPr>
          <w:rFonts w:ascii="Times New Roman" w:eastAsia="Times New Roman" w:hAnsi="Times New Roman" w:cs="Times New Roman"/>
          <w:b/>
          <w:bCs/>
          <w:color w:val="000000"/>
          <w:sz w:val="26"/>
          <w:szCs w:val="26"/>
        </w:rPr>
        <w:t>Điều 35. Chấm dứt hợp đồng bảo hiểm</w:t>
      </w:r>
      <w:bookmarkEnd w:id="7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Hợp đồng bảo hiểm chấm dứt trong các trường hợp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Bên mua bảo hiểm và doanh nghiệp bảo hiểm có thỏa thuận tại hợp đồng bảo hiểm về việc hợp đồng bảo hiểm chấm dứt trong trường hợp tạm dừng thực hiện công việc trong hợp đồng xây dựng hoặc chấm dứt hợp đồng xây dựng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Bên mua bảo hiểm phải thông báo bằng văn bản cho doanh nghiệp bảo hiểm trong thời hạn 5 ngày làm việc kể từ ngày chủ đầu tư có quyết định về việc tạm dừng thực hiện công việc trong hợp đồng xây dựng hoặc chấm dứt hợp đồng xây dựng theo quy định của pháp luật. Thời điểm chấm dứt hợp đồng bảo hiểm được xác định căn cứ vào thời điểm tạm dừng thực hiện công việc trong hợp đồng xây dựng hoặc chấm dứt hợp đồng xây dựng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Các trường hợp chấm dứt khác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Hậu quả pháp lý của việc chấm dứt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Trường hợp hợp đồng bảo hiểm chấm dứt theo quy định tại điểm a khoản 1 Điều này, trong thời hạn 15 ngày kể từ ngày chấm dứt hợp đồng bảo hiểm, doanh nghiệp bảo hiểm phải hoàn lại cho bên mua bảo hiểm phần phí bảo hiểm tương ứng với thời gian còn lại của hợp đồng bảo hiểm sau khi trừ đi các chi phí hợp lý có liên quan đến hợp đồng bảo hiểm theo thỏa thuận tại hợp đồng bảo hiểm (nếu có). Trường hợp bên mua bảo hiểm chưa đóng đủ phí bảo hiểm, bên mua bảo hiểm phải đóng bổ sung đủ phí bảo hiểm tương ứng với thời gian đã được bảo hiểm tính đến thời điểm chấm dứt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Hậu quả pháp lý của việc chấm dứt hợp đồng bảo hiểm theo quy định tại điểm b khoản 1 Điều này thực hiện theo thỏa thuận tại hợp đồng bảo hiểm và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79" w:name="dieu_36"/>
      <w:r w:rsidRPr="00F1032B">
        <w:rPr>
          <w:rFonts w:ascii="Times New Roman" w:eastAsia="Times New Roman" w:hAnsi="Times New Roman" w:cs="Times New Roman"/>
          <w:b/>
          <w:bCs/>
          <w:color w:val="000000"/>
          <w:sz w:val="26"/>
          <w:szCs w:val="26"/>
        </w:rPr>
        <w:t>Điều 36. Thời hạn bảo hiểm</w:t>
      </w:r>
      <w:bookmarkEnd w:id="7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hạn bảo hiểm bắt buộc công trình trong thời gian xây dựng thực hiện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công trình xây dựng quy định tại </w:t>
      </w:r>
      <w:bookmarkStart w:id="80" w:name="tc_15"/>
      <w:r w:rsidRPr="00F1032B">
        <w:rPr>
          <w:rFonts w:ascii="Times New Roman" w:eastAsia="Times New Roman" w:hAnsi="Times New Roman" w:cs="Times New Roman"/>
          <w:color w:val="0000FF"/>
          <w:sz w:val="26"/>
          <w:szCs w:val="26"/>
        </w:rPr>
        <w:t>điểm a khoản 1 Điều 37 Nghị định này</w:t>
      </w:r>
      <w:bookmarkEnd w:id="80"/>
      <w:r w:rsidRPr="00F1032B">
        <w:rPr>
          <w:rFonts w:ascii="Times New Roman" w:eastAsia="Times New Roman" w:hAnsi="Times New Roman" w:cs="Times New Roman"/>
          <w:color w:val="000000"/>
          <w:sz w:val="26"/>
          <w:szCs w:val="26"/>
        </w:rPr>
        <w:t>: Thời hạn bảo hiểm được ghi trong hợp đồng bảo hiểm, tính từ ngày bắt đầu đến ngày kết thúc thời gian xây dựng căn cứ vào văn bản của cấp có thẩm quyền quyết định đầu tư bao gồm cả điều chỉnh, bổ sung (nếu có). Thời hạn bảo hiểm đối với những bộ phận, hạng mục công trình đã được bàn giao hoặc đưa vào sử dụng sẽ chấm dứt kể từ thời điểm các bộ phận, hạng mục đó được bàn giao hoặc được đưa vào sử dụng.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công trình xây dựng quy định tại </w:t>
      </w:r>
      <w:bookmarkStart w:id="81" w:name="tc_16"/>
      <w:r w:rsidRPr="00F1032B">
        <w:rPr>
          <w:rFonts w:ascii="Times New Roman" w:eastAsia="Times New Roman" w:hAnsi="Times New Roman" w:cs="Times New Roman"/>
          <w:color w:val="0000FF"/>
          <w:sz w:val="26"/>
          <w:szCs w:val="26"/>
        </w:rPr>
        <w:t>điểm b khoản 1 Điều 37 Nghị định này</w:t>
      </w:r>
      <w:bookmarkEnd w:id="81"/>
      <w:r w:rsidRPr="00F1032B">
        <w:rPr>
          <w:rFonts w:ascii="Times New Roman" w:eastAsia="Times New Roman" w:hAnsi="Times New Roman" w:cs="Times New Roman"/>
          <w:color w:val="000000"/>
          <w:sz w:val="26"/>
          <w:szCs w:val="26"/>
        </w:rPr>
        <w:t>: Thời hạn bảo hiểm được ghi trong hợp đồng bảo hiểm, tính từ ngày bắt đầu thời gian xây dựng căn cứ vào văn bản của cấp có thẩm quyền quyết định đầu tư bao gồm cả điều chỉnh, bổ sung (nếu có) cho tới khi bàn giao công trình hoặc sau khi hoàn tất lần chạy thử có tải đầu tiên, tùy theo thời điểm nào đến trước, nhưng không quá 28 ngày kể từ ngày bắt đầu chạy thử. Thời hạn bảo hiểm đối với các thiết bị đã qua sử dụng lắp đặt vào công trình sẽ chấm dứt kể từ thời điểm các thiết bị đó bắt đầu được chạy thử.</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82" w:name="dieu_37"/>
      <w:r w:rsidRPr="00F1032B">
        <w:rPr>
          <w:rFonts w:ascii="Times New Roman" w:eastAsia="Times New Roman" w:hAnsi="Times New Roman" w:cs="Times New Roman"/>
          <w:b/>
          <w:bCs/>
          <w:color w:val="000000"/>
          <w:sz w:val="26"/>
          <w:szCs w:val="26"/>
        </w:rPr>
        <w:t>Điều 37. Mức phí bảo hiểm và mức khấu trừ bảo hiểm</w:t>
      </w:r>
      <w:bookmarkEnd w:id="8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phí bảo hiểm và mức khấu trừ bảo hiểm bắt buộc công trình trong thời gian xây dựng được quy định cụ thể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a) Đối với công trình xây dựng có giá trị dưới 1.000 tỷ đồng, không bao gồm phần công việc lắp đặt hoặc có bao gồm phần công việc lắp đặt nhưng chi phí thực hiện phần công việc lắp đặt thấp hơn 50% tổng giá trị hạng mục công trình xây dựng được bảo hiểm: </w:t>
      </w:r>
      <w:r w:rsidRPr="00F1032B">
        <w:rPr>
          <w:rFonts w:ascii="Times New Roman" w:eastAsia="Times New Roman" w:hAnsi="Times New Roman" w:cs="Times New Roman"/>
          <w:color w:val="000000"/>
          <w:sz w:val="26"/>
          <w:szCs w:val="26"/>
        </w:rPr>
        <w:lastRenderedPageBreak/>
        <w:t>Mức phí bảo hiểm và mức khấu trừ bảo hiểm quy định tại khoản 1 Mục I </w:t>
      </w:r>
      <w:bookmarkStart w:id="83" w:name="bieumau_pl3"/>
      <w:r w:rsidRPr="00F1032B">
        <w:rPr>
          <w:rFonts w:ascii="Times New Roman" w:eastAsia="Times New Roman" w:hAnsi="Times New Roman" w:cs="Times New Roman"/>
          <w:color w:val="000000"/>
          <w:sz w:val="26"/>
          <w:szCs w:val="26"/>
        </w:rPr>
        <w:t>Phụ lục III</w:t>
      </w:r>
      <w:bookmarkEnd w:id="83"/>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công trình xây dựng có giá trị dưới 1.000 tỷ đồng, có bao gồm công việc lắp đặt và chi phí thực hiện phần công việc lắp đặt chiếm từ 50% trở lên tổng giá trị hạng mục công trình xây dựng được bảo hiểm: Mức phí bảo hiểm và mức khấu trừ bảo hiểm quy định tại khoản 1 Mục II </w:t>
      </w:r>
      <w:bookmarkStart w:id="84" w:name="bieumau_pl3_1"/>
      <w:r w:rsidRPr="00F1032B">
        <w:rPr>
          <w:rFonts w:ascii="Times New Roman" w:eastAsia="Times New Roman" w:hAnsi="Times New Roman" w:cs="Times New Roman"/>
          <w:color w:val="000000"/>
          <w:sz w:val="26"/>
          <w:szCs w:val="26"/>
        </w:rPr>
        <w:t>Phụ lục III</w:t>
      </w:r>
      <w:bookmarkEnd w:id="84"/>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Đối với công trình xây dựng có giá trị từ 1.000 tỷ đồng trở lên quy định tại điểm a, điểm b khoản này: Doanh nghiệp bảo hiểm và bên mua bảo hiểm có thể thỏa thuận mức phí bảo hiểm và mức khấu trừ bảo hiểm trên cơ sở bằng chứng chứng minh doanh nghiệp, tổ chức bảo hiểm nước ngoài đứng đầu nhận tái bảo hiểm xác nhận. Doanh nghiệp, tổ chức bảo hiểm nước ngoài đứng đầu nhận tái bảo hiểm và doanh nghiệp, tổ chức bảo hiểm nước ngoài nhận tái bảo hiểm từ 10% tổng mức trách nhiệm của mỗi hợp đồng tái bảo hiểm phải đáp ứng quy định tại </w:t>
      </w:r>
      <w:bookmarkStart w:id="85" w:name="tc_17"/>
      <w:r w:rsidRPr="00F1032B">
        <w:rPr>
          <w:rFonts w:ascii="Times New Roman" w:eastAsia="Times New Roman" w:hAnsi="Times New Roman" w:cs="Times New Roman"/>
          <w:color w:val="0000FF"/>
          <w:sz w:val="26"/>
          <w:szCs w:val="26"/>
        </w:rPr>
        <w:t>khoản 9 Điều 4 Nghị định này</w:t>
      </w:r>
      <w:bookmarkEnd w:id="85"/>
      <w:r w:rsidRPr="00F1032B">
        <w:rPr>
          <w:rFonts w:ascii="Times New Roman" w:eastAsia="Times New Roman" w:hAnsi="Times New Roman" w:cs="Times New Roman"/>
          <w:color w:val="000000"/>
          <w:sz w:val="26"/>
          <w:szCs w:val="26"/>
        </w:rPr>
        <w:t>. Trong mọi trường hợp, mức phí bảo hiểm không được thấp hơn mức phí bảo hiểm tương ứng với 1.000 tỷ đồng nhân (x) 75% tỷ lệ phí bảo hiểm quy định tại khoản 1 Mục I </w:t>
      </w:r>
      <w:bookmarkStart w:id="86" w:name="bieumau_pl3_2"/>
      <w:r w:rsidRPr="00F1032B">
        <w:rPr>
          <w:rFonts w:ascii="Times New Roman" w:eastAsia="Times New Roman" w:hAnsi="Times New Roman" w:cs="Times New Roman"/>
          <w:color w:val="000000"/>
          <w:sz w:val="26"/>
          <w:szCs w:val="26"/>
        </w:rPr>
        <w:t>Phụ lục III</w:t>
      </w:r>
      <w:bookmarkEnd w:id="86"/>
      <w:r w:rsidRPr="00F1032B">
        <w:rPr>
          <w:rFonts w:ascii="Times New Roman" w:eastAsia="Times New Roman" w:hAnsi="Times New Roman" w:cs="Times New Roman"/>
          <w:color w:val="000000"/>
          <w:sz w:val="26"/>
          <w:szCs w:val="26"/>
        </w:rPr>
        <w:t> ban hành kèm theo Nghị định này (đối với công trình quy định tại điểm a khoản 1 Điều này) hoặc khoản 1 Mục II </w:t>
      </w:r>
      <w:bookmarkStart w:id="87" w:name="bieumau_pl3_3"/>
      <w:r w:rsidRPr="00F1032B">
        <w:rPr>
          <w:rFonts w:ascii="Times New Roman" w:eastAsia="Times New Roman" w:hAnsi="Times New Roman" w:cs="Times New Roman"/>
          <w:color w:val="000000"/>
          <w:sz w:val="26"/>
          <w:szCs w:val="26"/>
        </w:rPr>
        <w:t>Phụ lục III</w:t>
      </w:r>
      <w:bookmarkEnd w:id="87"/>
      <w:r w:rsidRPr="00F1032B">
        <w:rPr>
          <w:rFonts w:ascii="Times New Roman" w:eastAsia="Times New Roman" w:hAnsi="Times New Roman" w:cs="Times New Roman"/>
          <w:color w:val="000000"/>
          <w:sz w:val="26"/>
          <w:szCs w:val="26"/>
        </w:rPr>
        <w:t> ban hành kèm theo Nghị định này (đối với công trình quy định tại điểm b khoản 1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Đối với các công trình xây dựng chưa được quy định tại điểm a, điểm b, điểm c khoản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và bên mua bảo hiểm có thể thỏa thuận quy tắc, điều khoản, mức phí bảo hiểm và mức khấu trừ bảo hiểm trên cơ sở bằng chứng chứng minh doanh nghiệp, tổ chức bảo hiểm nước ngoài đứng đầu nhận tái bảo hiểm xác nhận nhận tái bảo hiểm theo đúng quy tắc, điều khoản, mức phí bảo hiểm và mức khấu trừ bảo hiểm mà doanh nghiệp bảo hiểm cung cấp cho bên mua bảo hiểm. Doanh nghiệp, tổ chức bảo hiểm nước ngoài đứng đầu nhận tái bảo hiểm và doanh nghiệp, tổ chức bảo hiểm nước ngoài nhận tái bảo hiểm từ 10% tổng mức trách nhiệm của mỗi hợp đồng tái bảo hiểm phải đáp ứng quy định tại </w:t>
      </w:r>
      <w:bookmarkStart w:id="88" w:name="tc_18"/>
      <w:r w:rsidRPr="00F1032B">
        <w:rPr>
          <w:rFonts w:ascii="Times New Roman" w:eastAsia="Times New Roman" w:hAnsi="Times New Roman" w:cs="Times New Roman"/>
          <w:color w:val="0000FF"/>
          <w:sz w:val="26"/>
          <w:szCs w:val="26"/>
        </w:rPr>
        <w:t>khoản 9 Điều 4 Nghị định này</w:t>
      </w:r>
      <w:bookmarkEnd w:id="88"/>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công trình xây dựng quy định tại điểm a, điểm b khoản 1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Căn cứ vào mức độ rủi ro của đối tượng bảo hiểm, doanh nghiệp bảo hiểm được điều chỉnh tăng hoặc giảm phí bảo hiểm tối đa 25% tính trên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trong năm tài chính trước liền kề, đối tượng bảo hiểm là nguyên nhân trực tiếp dẫn đến số tiền chi bồi thường bảo hiểm gốc lớn hơn doanh thu phí bảo hiểm gốc của bảo hiểm bắt buộc công trình trong thời gian xây dựng, trên cơ sở số liệu có xác nhận của chuyên gia tính toán của doanh nghiệp bảo hiểm và xác nhận của tổ chức kiểm toán độc lập, khi tái tục hợp đồng bảo hiểm, doanh nghiệp bảo hiểm và bên mua bảo hiểm có thể thỏa thuận mức phí bảo hiểm và mức khấu trừ bảo hiểm bảo đảm khả năng thanh toán của doanh nghiệp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3. Trường hợp thời gian xây dựng công trình bị kéo dài so với thời gian quy định tại văn bản của cấp có thẩm quyền quyết định đầu tư khi giao kết hợp đồng bảo hiểm, bên mua </w:t>
      </w:r>
      <w:r w:rsidRPr="00F1032B">
        <w:rPr>
          <w:rFonts w:ascii="Times New Roman" w:eastAsia="Times New Roman" w:hAnsi="Times New Roman" w:cs="Times New Roman"/>
          <w:color w:val="000000"/>
          <w:sz w:val="26"/>
          <w:szCs w:val="26"/>
        </w:rPr>
        <w:lastRenderedPageBreak/>
        <w:t>bảo hiểm và doanh nghiệp bảo hiểm có thể thỏa thuận phí bảo hiểm bổ sung áp dụng cho khoảng thời gian bị kéo dài. Phí bảo hiểm bổ sung (nếu có) được tính căn cứ vào phí bảo hiểm quy định tại </w:t>
      </w:r>
      <w:bookmarkStart w:id="89" w:name="bieumau_pl3_4"/>
      <w:r w:rsidRPr="00F1032B">
        <w:rPr>
          <w:rFonts w:ascii="Times New Roman" w:eastAsia="Times New Roman" w:hAnsi="Times New Roman" w:cs="Times New Roman"/>
          <w:color w:val="000000"/>
          <w:sz w:val="26"/>
          <w:szCs w:val="26"/>
        </w:rPr>
        <w:t>Phụ lục III</w:t>
      </w:r>
      <w:bookmarkEnd w:id="89"/>
      <w:r w:rsidRPr="00F1032B">
        <w:rPr>
          <w:rFonts w:ascii="Times New Roman" w:eastAsia="Times New Roman" w:hAnsi="Times New Roman" w:cs="Times New Roman"/>
          <w:color w:val="000000"/>
          <w:sz w:val="26"/>
          <w:szCs w:val="26"/>
        </w:rPr>
        <w:t> ban hành kèm theo Nghị định này và quy định tại khoản 2 Điều này, tỷ lệ thời gian xây dựng kéo dài trên tổng thời gian xây dựng công trình theo văn bản của cấp có thẩm quyền quyết định đầu tư khi giao kết hợp đồng bảo hiểm và các yếu tố rủi ro khác.</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0" w:name="dieu_38"/>
      <w:r w:rsidRPr="00F1032B">
        <w:rPr>
          <w:rFonts w:ascii="Times New Roman" w:eastAsia="Times New Roman" w:hAnsi="Times New Roman" w:cs="Times New Roman"/>
          <w:b/>
          <w:bCs/>
          <w:color w:val="000000"/>
          <w:sz w:val="26"/>
          <w:szCs w:val="26"/>
        </w:rPr>
        <w:t>Điều 38. Trách nhiệm mua bảo hiểm</w:t>
      </w:r>
      <w:bookmarkEnd w:id="9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Chủ đầu tư phải mua bảo hiểm cho công trình hoặc cho từng hạng mục của công trình trong thời gian xây dựng. Các trường hợp cụ thể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Trường hợp mua bảo hiểm cho công trình trong thời gian xây dựng, chủ đầu tư phải mua bảo hiểm với số tiền bảo hiểm tối thiểu theo quy định tại </w:t>
      </w:r>
      <w:bookmarkStart w:id="91" w:name="tc_19"/>
      <w:r w:rsidRPr="00F1032B">
        <w:rPr>
          <w:rFonts w:ascii="Times New Roman" w:eastAsia="Times New Roman" w:hAnsi="Times New Roman" w:cs="Times New Roman"/>
          <w:color w:val="0000FF"/>
          <w:sz w:val="26"/>
          <w:szCs w:val="26"/>
        </w:rPr>
        <w:t>Điều 33 Nghị định này</w:t>
      </w:r>
      <w:bookmarkEnd w:id="91"/>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mua bảo hiểm theo từng hạng mục công trình trong thời gian xây dựng, chủ đầu tư phải mua bảo hiểm với số tiền bảo hiểm của từng hạng mục công trình không thấp hơn giá trị đầy đủ của hạng mục công trình đó khi hoàn thành và tổng số tiền bảo hiểm của các hạng mục công trình trong thời gian xây dựng không thấp hơn số tiền bảo hiểm tối thiểu theo quy định tại </w:t>
      </w:r>
      <w:bookmarkStart w:id="92" w:name="tc_20"/>
      <w:r w:rsidRPr="00F1032B">
        <w:rPr>
          <w:rFonts w:ascii="Times New Roman" w:eastAsia="Times New Roman" w:hAnsi="Times New Roman" w:cs="Times New Roman"/>
          <w:color w:val="0000FF"/>
          <w:sz w:val="26"/>
          <w:szCs w:val="26"/>
        </w:rPr>
        <w:t>Điều 33 Nghị định này</w:t>
      </w:r>
      <w:bookmarkEnd w:id="92"/>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3" w:name="dieu_39"/>
      <w:r w:rsidRPr="00F1032B">
        <w:rPr>
          <w:rFonts w:ascii="Times New Roman" w:eastAsia="Times New Roman" w:hAnsi="Times New Roman" w:cs="Times New Roman"/>
          <w:b/>
          <w:bCs/>
          <w:color w:val="000000"/>
          <w:sz w:val="26"/>
          <w:szCs w:val="26"/>
        </w:rPr>
        <w:t>Điều 39. Nguyên tắc bồi thường bảo hiểm</w:t>
      </w:r>
      <w:bookmarkEnd w:id="9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xảy ra tổn thất đối với công trình trong thời gian xây dựng, bên mua bảo hiểm phối hợp với doanh nghiệp bảo hiểm giải quyết bồi thường bảo hiểm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Lập tức thông báo ngay cho doanh nghiệp bảo hiểm bằng các phương tiện thông tin liên lạc, sau đó trong thời hạn 14 ngày kể từ ngày xảy ra tổn thất đối với công trình xây dựng phải thông báo bằng văn bản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Sau khi thông báo bằng văn bản cho doanh nghiệp bảo hiểm, bên mua bảo hiểm có thể tiến hành sửa chữa hoặc thay thế các hư hỏng nhỏ có giá trị không vượt quá mức khấu trừ tương ứng quy định tại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các trường hợp khác, trước khi thực hiện sửa chữa hoặc thay thế các hạng mục bị tổn thất, bên mua bảo hiểm phải được doanh nghiệp bảo hiểm giám định tổn thất. Nếu doanh nghiệp bảo hiểm không tiến hành giám định tổn thất trong thời hạn 5 ngày làm việc kể từ ngày nhận được thông báo tổn thất công trình xây dựng, trừ trường hợp có sự kiện bất khả kháng hoặc trở ngại khách quan, bên mua bảo hiểm, người được bảo hiểm có quyền tiến hành việc sửa chữa hoặc thay thế các hạng mục bị tổn thất. Doanh nghiệp bảo hiểm phải trả chi phí sửa chữa hoặc thay thế các hạng mục bị tổn thất thuộc trách nhiệm bảo hiểm với điều kiện bên mua bảo hiểm, người được bảo hiểm phải tiến hành sửa chữa hoặc thay thế kịp thời.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Bảo quản các bộ phận bị tổn thất và sẵn sàng để cho đại diện hay giám định viên của doanh nghiệp bảo hiểm giám định các bộ phận đó.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Thông báo ngay cho cơ quan Công an trong trường hợp tổn thất do trộm cắp.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đ) Thực hiện mọi biện pháp trong phạm vi khả năng của mình để hạn chế tổn thất ở mức thấp nhất.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Thực hiện, phối hợp, cho phép doanh nghiệp bảo hiểm thực hiện các hành động và biện pháp cần thiết hoặc theo yêu cầu của doanh nghiệp bảo hiểm nhằm bảo vệ quyền lợi mà doanh nghiệp bảo hiểm được hưởng sau khi bồi thường thiệt hại thuộc trách nhiệm bảo hiểm theo quy định tại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Khi xảy ra tổn thất đối với công trình trong thời gian xây dựng, doanh nghiệp bảo hiểm thực hiện giải quyết bồi thường bảo hiểm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Thực hiện giám định tổn thất theo quy định của pháp luật và lập biên bản giám định nguyên nhân và mức độ thiệt hại theo quy định tại </w:t>
      </w:r>
      <w:bookmarkStart w:id="94" w:name="tc_21"/>
      <w:r w:rsidRPr="00F1032B">
        <w:rPr>
          <w:rFonts w:ascii="Times New Roman" w:eastAsia="Times New Roman" w:hAnsi="Times New Roman" w:cs="Times New Roman"/>
          <w:color w:val="0000FF"/>
          <w:sz w:val="26"/>
          <w:szCs w:val="26"/>
        </w:rPr>
        <w:t>khoản 5 Điều 40 Nghị định này</w:t>
      </w:r>
      <w:bookmarkEnd w:id="94"/>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Hướng dẫn, phối hợp với bên mua bảo hiểm và các cơ quan, tổ chức, cá nhân có liên quan thu thập đầy đủ các tài liệu để lập hồ sơ bồi thường.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Doanh nghiệp bảo hiểm chỉ bồi thường bảo hiểm các khoản thiệt hại vật chất mà người được bảo hiểm thực tế phải gánh chịu và khi các khoản đó đã được tính vào số tiền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Mức bồi thường đối với từng hạng mục tài sản ghi trong hợp đồng bảo hiểm không vượt quá số tiền bảo hiểm của hạng mục tài sản đó. Tổng số tiền bồi thường bảo hiểm không vượt quá tổng số tiền bảo hiểm quy định trong hợp đồng bảo hiểm. Các trường hợp cụ thể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trường hợp tổn thất có thể sửa chữa được thì phải sửa chữa, số tiền bồi thường là chi phí cần thiết để phục hồi các hạng mục bị tổn thất trở lại trạng thái như trước khi xảy ra tổn thất sau khi trừ đi phần giá trị thu hồi (trường hợp bên mua bảo hiểm thu hồi tài sản bị tổn thất) và mức khấu trừ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trường hợp tổn thất toàn bộ, số tiền bồi thường bảo hiểm là giá trị thị trường của hạng mục đó tại thời điểm, nơi xảy ra tổn thất và mức độ thiệt hại thực tế trừ đi mức khấu trừ bảo hiểm. Trường hợp bên mua bảo hiểm thu hồi tài sản bị tổn thất, số tiền bồi thường bảo hiểm là giá trị thực tế của hạng mục đó tại thời điểm, nơi xảy ra tổn thất trừ đi mức khấu trừ bảo hiểm và giá trị thu hồi tài sản bị tổn thất.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Chi phí sửa chữa tạm thời sẽ do doanh nghiệp bảo hiểm chịu nếu như việc sửa chữa đó là một bộ phận cấu thành của việc sửa chữa chính thức và không làm tăng tổng chi phí sửa chữa theo phương án sửa chữa cuối cùng của hạng mục bị tổn thất.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Doanh nghiệp bảo hiểm không có trách nhiệm bồi thường mọi chi phí nhằm cải hoán, bổ sung, nâng cấp các hạng mục được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5" w:name="dieu_40"/>
      <w:r w:rsidRPr="00F1032B">
        <w:rPr>
          <w:rFonts w:ascii="Times New Roman" w:eastAsia="Times New Roman" w:hAnsi="Times New Roman" w:cs="Times New Roman"/>
          <w:b/>
          <w:bCs/>
          <w:color w:val="000000"/>
          <w:sz w:val="26"/>
          <w:szCs w:val="26"/>
        </w:rPr>
        <w:t>Điều 40. Hồ sơ bồi thường bảo hiểm</w:t>
      </w:r>
      <w:bookmarkEnd w:id="9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sơ bồi thường bảo hiểm bắt buộc công trình trong thời gian xây dựng bao gồm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 của bên mua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 Tài liệu liên quan đến đối tượng bảo hiểm, bao gồm: Hợp đồng bảo hiểm,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Tài liệu chứng minh thiệt hại về tài sản, bao gồm: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Hồ sơ sự cố công trình xây dựng trong trường hợp xảy ra sự cố công trình xây dựng (bản sao được chứng thực từ bản chính hoặc bản sao có xác nhận của bên lập hồ sơ) theo quy định tại </w:t>
      </w:r>
      <w:bookmarkStart w:id="96" w:name="dc_1"/>
      <w:r w:rsidRPr="00F1032B">
        <w:rPr>
          <w:rFonts w:ascii="Times New Roman" w:eastAsia="Times New Roman" w:hAnsi="Times New Roman" w:cs="Times New Roman"/>
          <w:color w:val="000000"/>
          <w:sz w:val="26"/>
          <w:szCs w:val="26"/>
        </w:rPr>
        <w:t>Điều 47 Nghị định số 06/2021/NĐ-CP</w:t>
      </w:r>
      <w:bookmarkEnd w:id="96"/>
      <w:r w:rsidRPr="00F1032B">
        <w:rPr>
          <w:rFonts w:ascii="Times New Roman" w:eastAsia="Times New Roman" w:hAnsi="Times New Roman" w:cs="Times New Roman"/>
          <w:color w:val="000000"/>
          <w:sz w:val="26"/>
          <w:szCs w:val="26"/>
        </w:rPr>
        <w:t> ngày 26 tháng 01 năm 2021 của Chính phủ quy định chi tiết một số nội dung về quản lý chất lượng, thi công xây dựng và bảo trì công trình xây dựng hoặc bằng chứng chứng minh tổn thất của công trình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Hóa đơn, chứng từ hợp lệ hoặc bằng chứng chứng minh về việc sửa chữa, thay mới tài sản bị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Các giấy tờ chứng minh chi phí cần thiết và hợp lý mà bên mua bảo hiểm đã chi ra để hạn chế tổn thất ở mức thấp nhất hoặc để thực hiện theo chỉ dẫn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Biên bản giám định nguyên nhân và mức độ thiệt hại do doanh nghiệp bảo hiểm hoặc người được doanh nghiệp bảo hiểm ủy quyền lập.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Các tài liệu khác có liên quan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có trách nhiệm thu thập và gửi doanh nghiệp bảo hiểm các tài liệu quy định tại khoản 1, khoản 2, khoản 3, khoản 4 và khoản 6 Điều này. Doanh nghiệp bảo hiểm có trách nhiệm thu thập tài liệu quy định tại khoản 5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7" w:name="muc_2_4"/>
      <w:r w:rsidRPr="00F1032B">
        <w:rPr>
          <w:rFonts w:ascii="Times New Roman" w:eastAsia="Times New Roman" w:hAnsi="Times New Roman" w:cs="Times New Roman"/>
          <w:b/>
          <w:bCs/>
          <w:color w:val="000000"/>
          <w:sz w:val="26"/>
          <w:szCs w:val="26"/>
        </w:rPr>
        <w:t>Mục 2. ĐIỀU KIỆN BẢO HIỂM, MỨC PHÍ BẢO HIỂM, GIỚI HẠN TRÁCH NHIỆM BẢO HIỂM ĐỐI VỚI BẢO HIỂM BẮT BUỘC TRÁCH NHIỆM NGHỀ NGHIỆP TƯ VẤN ĐẦU TƯ XÂY DỰNG</w:t>
      </w:r>
      <w:bookmarkEnd w:id="97"/>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8" w:name="dieu_41"/>
      <w:r w:rsidRPr="00F1032B">
        <w:rPr>
          <w:rFonts w:ascii="Times New Roman" w:eastAsia="Times New Roman" w:hAnsi="Times New Roman" w:cs="Times New Roman"/>
          <w:b/>
          <w:bCs/>
          <w:color w:val="000000"/>
          <w:sz w:val="26"/>
          <w:szCs w:val="26"/>
        </w:rPr>
        <w:t>Điều 41. Đối tượng bảo hiểm</w:t>
      </w:r>
      <w:bookmarkEnd w:id="9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Đối tượng bảo hiểm bắt buộc trách nhiệm nghề nghiệp tư vấn đầu tư xây dựng là trách nhiệm dân sự của nhà thầu tư vấn đầu tư xây dựng đối với người thứ ba phát sinh từ việc thực hiện công việc khảo sát xây dựng, thiết kế xây dựng công trình xây dựng từ cấp II trở lên.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99" w:name="dieu_42"/>
      <w:r w:rsidRPr="00F1032B">
        <w:rPr>
          <w:rFonts w:ascii="Times New Roman" w:eastAsia="Times New Roman" w:hAnsi="Times New Roman" w:cs="Times New Roman"/>
          <w:b/>
          <w:bCs/>
          <w:color w:val="000000"/>
          <w:sz w:val="26"/>
          <w:szCs w:val="26"/>
        </w:rPr>
        <w:t>Điều 42. Giới hạn trách nhiệm bảo hiểm</w:t>
      </w:r>
      <w:bookmarkEnd w:id="9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Giới hạn trách nhiệm bảo hiểm bằng giá trị hợp đồng tư vấn khảo sát xây dựng, hợp đồng tư vấn thiết kế xây dựng.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00" w:name="dieu_43"/>
      <w:r w:rsidRPr="00F1032B">
        <w:rPr>
          <w:rFonts w:ascii="Times New Roman" w:eastAsia="Times New Roman" w:hAnsi="Times New Roman" w:cs="Times New Roman"/>
          <w:b/>
          <w:bCs/>
          <w:color w:val="000000"/>
          <w:sz w:val="26"/>
          <w:szCs w:val="26"/>
        </w:rPr>
        <w:t>Điều 43. Phạm vi bảo hiểm và loại trừ trách nhiệm bảo hiểm</w:t>
      </w:r>
      <w:bookmarkEnd w:id="10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bồi thường cho nhà thầu tư vấn những khoản tiền mà nhà thầu tư vấn có trách nhiệm bồi thường cho các tổn thất của người thứ ba phát sinh từ việc thực hiện công việc tư vấn đầu tư xây dựng và các chi phí có liên quan theo quy định của pháp luật, trừ các trường hợp quy định tại khoản 2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 Các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không có trách nhiệm bồi thường bảo hiểm trong các trường hợp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Loại trừ trách nhiệm bảo hiểm quy định </w:t>
      </w:r>
      <w:bookmarkStart w:id="101" w:name="tc_22"/>
      <w:r w:rsidRPr="00F1032B">
        <w:rPr>
          <w:rFonts w:ascii="Times New Roman" w:eastAsia="Times New Roman" w:hAnsi="Times New Roman" w:cs="Times New Roman"/>
          <w:color w:val="0000FF"/>
          <w:sz w:val="26"/>
          <w:szCs w:val="26"/>
        </w:rPr>
        <w:t>điểm a, điểm b, điểm c, điểm d, điểm đ, điểm e, điểm g, điểm h và điểm i khoản 2 Điều 34 Nghị định này</w:t>
      </w:r>
      <w:bookmarkEnd w:id="101"/>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Tổn thất phát sinh do nhà thầu tư vấn cố ý lựa chọn phương pháp thi công, tính toán, đo đạc, thiết kế, sử dụng vật liệu chưa được thử nghiệm.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Chi phí thiết kế lại hoặc sửa bản vẽ, kế hoạch, tài liệu hướng dẫn kỹ thuật hoặc danh mục tài liệu hướng dẫn kỹ thuật.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Tổn thất phát sinh do nấm mốc.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Tổn thất do việc tư vấn khảo sát xây dựng, thiết kế xây dựng dẫn đến gây ô nhiễm, nhiễm bẩn đối với môi trường và người thứ ba.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Tổn thất có liên quan đến chất amiăng hoặc bất kỳ nguyên vật liệu nào có chứa chất amiăng.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Tổn thất phát sinh từ việc vi phạm quyền sở hữu trí tuệ.</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 Tổn thất phát sinh do nhà thầu tư vấn cố ý không tuân thủ quy định pháp luật xây dựng về áp dụng tiêu chuẩn, quy chuẩn kỹ thuật, sử dụng vật liệu xây dựng gây nguy hại cho sức khỏe cộng đồng, môi trường.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02" w:name="dieu_44"/>
      <w:r w:rsidRPr="00F1032B">
        <w:rPr>
          <w:rFonts w:ascii="Times New Roman" w:eastAsia="Times New Roman" w:hAnsi="Times New Roman" w:cs="Times New Roman"/>
          <w:b/>
          <w:bCs/>
          <w:color w:val="000000"/>
          <w:sz w:val="26"/>
          <w:szCs w:val="26"/>
        </w:rPr>
        <w:t>Điều 44. Thời hạn bảo hiểm</w:t>
      </w:r>
      <w:bookmarkEnd w:id="10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hạn bảo hiểm bắt buộc trách nhiệm nghề nghiệp tư vấn đầu tư xây dựng bắt đầu kể từ ngày thực hiện công việc tư vấn đến hết thời gian bảo hành công trình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03" w:name="dieu_45"/>
      <w:r w:rsidRPr="00F1032B">
        <w:rPr>
          <w:rFonts w:ascii="Times New Roman" w:eastAsia="Times New Roman" w:hAnsi="Times New Roman" w:cs="Times New Roman"/>
          <w:b/>
          <w:bCs/>
          <w:color w:val="000000"/>
          <w:sz w:val="26"/>
          <w:szCs w:val="26"/>
        </w:rPr>
        <w:t>Điều 45. Mức phí bảo hiểm và mức khấu trừ bảo hiểm</w:t>
      </w:r>
      <w:bookmarkEnd w:id="10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phí bảo hiểm và mức khấu trừ bảo hiểm bắt buộc trách nhiệm nghề nghiệp tư vấn đầu tư xây dựng được quy định cụ thể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công trình xây dựng có giá trị dưới 1.000 tỷ đồng và không thuộc các loại công trình xây dựng đê, đập, cảng, bến cảng, cầu cảng, bến tàu, đập chắn sóng và các công trình thủy lợi; các công trình xây dựng sân bay, máy bay, vệ tinh, không gian; các công trình sửa chữa và đóng tàu; các công trình xây dựng năng lượng trên biển và dưới nước; các dự án xe lửa, xe điện, tàu tốc hành và dự án ngầm dưới đất, hầm mỏ: Mức phí bảo hiểm và mức khấu trừ bảo hiểm quy định tại khoản 1 </w:t>
      </w:r>
      <w:bookmarkStart w:id="104" w:name="bieumau_pl4"/>
      <w:r w:rsidRPr="00F1032B">
        <w:rPr>
          <w:rFonts w:ascii="Times New Roman" w:eastAsia="Times New Roman" w:hAnsi="Times New Roman" w:cs="Times New Roman"/>
          <w:color w:val="000000"/>
          <w:sz w:val="26"/>
          <w:szCs w:val="26"/>
        </w:rPr>
        <w:t>Phụ lục IV</w:t>
      </w:r>
      <w:bookmarkEnd w:id="104"/>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Căn cứ vào mức độ rủi ro của đối tượng bảo hiểm, doanh nghiệp bảo hiểm được điều chỉnh tăng hoặc giảm phí bảo hiểm tối đa 25% tính trên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Trường hợp trong năm tài chính trước liền kề, đối tượng bảo hiểm là nguyên nhân trực tiếp dẫn đến số tiền chi bồi thường bảo hiểm gốc lớn hơn doanh thu phí bảo hiểm gốc của </w:t>
      </w:r>
      <w:r w:rsidRPr="00F1032B">
        <w:rPr>
          <w:rFonts w:ascii="Times New Roman" w:eastAsia="Times New Roman" w:hAnsi="Times New Roman" w:cs="Times New Roman"/>
          <w:color w:val="000000"/>
          <w:sz w:val="26"/>
          <w:szCs w:val="26"/>
        </w:rPr>
        <w:lastRenderedPageBreak/>
        <w:t>bảo hiểm bắt buộc trách nhiệm nghề nghiệp tư vấn đầu tư xây dựng, trên cơ sở số liệu có xác nhận của chuyên gia tính toán của doanh nghiệp bảo hiểm và xác nhận của tổ chức kiểm toán độc lập, khi tái tục hợp đồng bảo hiểm, doanh nghiệp bảo hiểm và bên mua bảo hiểm có thể thỏa thuận mức phí bảo hiểm và mức khấu trừ bảo hiểm bảo đảm khả năng thanh toán của doanh nghiệp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công trình xây dựng có giá trị từ 1.000 tỷ đồng trở lên hoặc giá trị hợp đồng tư vấn trên 80 tỷ đồng hoặc các công trình không áp dụng mức phí bảo hiểm theo quy định tại điểm a khoản 1 Điều này: Doanh nghiệp bảo hiểm và bên mua bảo hiểm có thể thỏa thuận mức phí bảo hiểm và mức khấu trừ bảo hiểm trên cơ sở bằng chứng chứng minh doanh nghiệp, tổ chức bảo hiểm nước ngoài đứng đầu nhận tái bảo hiểm xác nhận nhận tái bảo hiểm theo đúng quy tắc, điều khoản, mức phí bảo hiểm và mức khấu trừ bảo hiểm mà doanh nghiệp bảo hiểm cung cấp cho bên mua bảo hiểm. Doanh nghiệp, tổ chức bảo hiểm nước ngoài đứng đầu nhận tái bảo hiểm và doanh nghiệp, tổ chức bảo hiểm nước ngoài nhận tái bảo hiểm từ 10% tổng mức trách nhiệm của mỗi hợp đồng tái bảo hiểm phải đáp ứng quy định tại </w:t>
      </w:r>
      <w:bookmarkStart w:id="105" w:name="tc_23"/>
      <w:r w:rsidRPr="00F1032B">
        <w:rPr>
          <w:rFonts w:ascii="Times New Roman" w:eastAsia="Times New Roman" w:hAnsi="Times New Roman" w:cs="Times New Roman"/>
          <w:color w:val="0000FF"/>
          <w:sz w:val="26"/>
          <w:szCs w:val="26"/>
        </w:rPr>
        <w:t>khoản 9 Điều 4 Nghị định này</w:t>
      </w:r>
      <w:bookmarkEnd w:id="105"/>
      <w:r w:rsidRPr="00F1032B">
        <w:rPr>
          <w:rFonts w:ascii="Times New Roman" w:eastAsia="Times New Roman" w:hAnsi="Times New Roman" w:cs="Times New Roman"/>
          <w:color w:val="000000"/>
          <w:sz w:val="26"/>
          <w:szCs w:val="26"/>
        </w:rPr>
        <w:t>. Trong mọi trường hợp, mức phí bảo hiểm không được thấp hơn mức phí bảo hiểm tương ứng với 1.000 tỷ đồng nhân (x) 75% tỷ lệ phí bảo hiểm quy định tại điểm a khoản 1 </w:t>
      </w:r>
      <w:bookmarkStart w:id="106" w:name="bieumau_pl4_1"/>
      <w:r w:rsidRPr="00F1032B">
        <w:rPr>
          <w:rFonts w:ascii="Times New Roman" w:eastAsia="Times New Roman" w:hAnsi="Times New Roman" w:cs="Times New Roman"/>
          <w:color w:val="000000"/>
          <w:sz w:val="26"/>
          <w:szCs w:val="26"/>
        </w:rPr>
        <w:t>Phụ lục IV</w:t>
      </w:r>
      <w:bookmarkEnd w:id="106"/>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thời gian thực hiện công việc tư vấn đầu tư xây dựng bị kéo dài so với thời gian quy định tại văn bản của cấp có thẩm quyền quyết định đầu tư khi giao kết hợp đồng bảo hiểm, bên mua bảo hiểm và doanh nghiệp bảo hiểm phải thỏa thuận về phí bảo hiểm bổ sung áp dụng cho khoảng thời gian bị kéo dài. Phí bảo hiểm bổ sung được tính căn cứ vào phí bảo hiểm quy định tại điểm a khoản 1 </w:t>
      </w:r>
      <w:bookmarkStart w:id="107" w:name="bieumau_pl4_2"/>
      <w:r w:rsidRPr="00F1032B">
        <w:rPr>
          <w:rFonts w:ascii="Times New Roman" w:eastAsia="Times New Roman" w:hAnsi="Times New Roman" w:cs="Times New Roman"/>
          <w:color w:val="000000"/>
          <w:sz w:val="26"/>
          <w:szCs w:val="26"/>
        </w:rPr>
        <w:t>Phụ lục IV</w:t>
      </w:r>
      <w:bookmarkEnd w:id="107"/>
      <w:r w:rsidRPr="00F1032B">
        <w:rPr>
          <w:rFonts w:ascii="Times New Roman" w:eastAsia="Times New Roman" w:hAnsi="Times New Roman" w:cs="Times New Roman"/>
          <w:color w:val="000000"/>
          <w:sz w:val="26"/>
          <w:szCs w:val="26"/>
        </w:rPr>
        <w:t> ban hành kèm theo Nghị định này, quy định tăng hoặc giảm phí bảo hiểm quy định tại điểm a khoản 1 Điều này và tương ứng với thời gian thực hiện công việc tư vấn kéo dài.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08" w:name="dieu_46"/>
      <w:r w:rsidRPr="00F1032B">
        <w:rPr>
          <w:rFonts w:ascii="Times New Roman" w:eastAsia="Times New Roman" w:hAnsi="Times New Roman" w:cs="Times New Roman"/>
          <w:b/>
          <w:bCs/>
          <w:color w:val="000000"/>
          <w:sz w:val="26"/>
          <w:szCs w:val="26"/>
        </w:rPr>
        <w:t>Điều 46. Nguyên tắc bồi thường bảo hiểm</w:t>
      </w:r>
      <w:bookmarkEnd w:id="10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Doanh nghiệp bảo hiểm bồi thường cho nhà thầu tư vấn những khoản tiền mà nhà thầu tư vấn có trách nhiệm bồi thường cho các tổn thất của người thứ ba và các chi phí có liên quan theo quy định của pháp luật, cụ thể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Tổn thất của người thứ ba và các chi phí có liên quan phát sinh do hành động sơ suất, bất cẩn của người được bảo hiểm là hậu quả của việc thực hiện công việc khảo sát xây dựng, thiết kế xây dựng thuộc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b) Yêu cầu đòi bồi thường của người thứ ba lần đầu tiên được đưa ra (từ một sự kiện bảo hiểm) đối với người được bảo hiểm và được bên mua bảo hiểm thông báo cho doanh nghiệp bảo hiểm trong thời hạn bảo hiểm, bao gồm cả các chi phí phải trả cho luật sư do doanh nghiệp bảo hiểm chỉ định hoặc do người được bảo hiểm chỉ định (có sự đồng ý bằng văn bản của doanh nghiệp bảo hiểm), các khoản lệ phí, chi phí khác phát sinh từ việc điều tra, chỉnh lý, bào chữa liên quan đến sự kiện bảo hiểm nhưng không bao gồm </w:t>
      </w:r>
      <w:r w:rsidRPr="00F1032B">
        <w:rPr>
          <w:rFonts w:ascii="Times New Roman" w:eastAsia="Times New Roman" w:hAnsi="Times New Roman" w:cs="Times New Roman"/>
          <w:color w:val="000000"/>
          <w:sz w:val="26"/>
          <w:szCs w:val="26"/>
        </w:rPr>
        <w:lastRenderedPageBreak/>
        <w:t>tiền lương trả cho người lao động hoặc người quản lý ký kết hợp đồng lao động với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Các chi phí khác có liên quan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Tổng số tiền bồi thường của doanh nghiệp bảo hiểm đối với tất cả các yêu cầu đòi bồi thường trong suốt thời hạn bảo hiểm không vượt quá giới hạn trách nhiệm bảo hiểm theo thỏa thuận tại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Khi có yêu cầu đòi bồi thường của người thứ ba, bên mua bảo hiểm phối hợp với doanh nghiệp bảo hiểm giải quyết bồi thường bảo hiểm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Lập tức thông báo ngay cho doanh nghiệp bảo hiểm bằng các phương tiện thông tin liên lạc, sau đó trong thời hạn 14 ngày kể từ ngày nhận được yêu cầu đòi bồi thường của người thứ ba phải thông báo bằng văn bản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Thực hiện mọi biện pháp trong phạm vi khả năng để hạn chế tổn thất ở mức thấp nhất.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Thực hiện, phối hợp, cho phép doanh nghiệp bảo hiểm thực hiện các hành động và biện pháp cần thiết hoặc theo yêu cầu của doanh nghiệp bảo hiểm nhằm bảo vệ quyền lợi mà doanh nghiệp bảo hiểm được hưởng sau khi bồi thường thiệt hại thuộc trách nhiệm bảo hiểm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Khi có yêu cầu đòi bồi thường của người thứ ba, doanh nghiệp bảo hiểm phải thực hiện giải quyết bồi thường bảo hiểm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Giám định tổn thất theo quy định pháp luật và lập biên bản giám định nguyên nhân và mức độ tổn thất.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Hướng dẫn bên mua bảo hiểm, phối hợp với bên mua bảo hiểm và các cơ quan, tổ chức, cá nhân có liên quan thu thập đầy đủ các tài liệu để lập hồ sơ bồi thường.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Phối hợp với bên mua bảo hiểm để giải quyết yêu cầu bồi thường thiệt hại của người thứ ba thuộc trách nhiệm bảo hiểm khi xảy ra sự kiện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09" w:name="dieu_47"/>
      <w:r w:rsidRPr="00F1032B">
        <w:rPr>
          <w:rFonts w:ascii="Times New Roman" w:eastAsia="Times New Roman" w:hAnsi="Times New Roman" w:cs="Times New Roman"/>
          <w:b/>
          <w:bCs/>
          <w:color w:val="000000"/>
          <w:sz w:val="26"/>
          <w:szCs w:val="26"/>
        </w:rPr>
        <w:t>Điều 47. Hồ sơ bồi thường bảo hiểm</w:t>
      </w:r>
      <w:bookmarkEnd w:id="10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có trách nhiệm phối hợp với bên mua bảo hiểm, người được bảo hiểm, các cơ quan, tổ chức có liên quan thu thập các tài liệu có liên quan để lập hồ sơ bồi thường. Hồ sơ bồi thường bảo hiểm bắt buộc trách nhiệm nghề nghiệp tư vấn đầu tư xây dựng bao gồm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 của bên mua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Tài liệu liên quan đến đối tượng bảo hiểm bao gồm: Hợp đồng bảo hiểm,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Văn bản yêu cầu bồi thường của người thứ ba đối với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4. Tài liệu chứng minh thiệt hại về người (Bản sao của cơ sở khám bệnh, chữa bệnh hoặc bản sao có xác nhận của doanh nghiệp bảo hiểm sau khi đã đối chiếu với bản chính) do </w:t>
      </w:r>
      <w:r w:rsidRPr="00F1032B">
        <w:rPr>
          <w:rFonts w:ascii="Times New Roman" w:eastAsia="Times New Roman" w:hAnsi="Times New Roman" w:cs="Times New Roman"/>
          <w:color w:val="000000"/>
          <w:sz w:val="26"/>
          <w:szCs w:val="26"/>
        </w:rPr>
        <w:lastRenderedPageBreak/>
        <w:t>bên mua bảo hiểm cung cấp. Tùy theo mức độ thiệt hại về người có thể bao gồm một hoặc một số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Giấy chứng nhận thương tích.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Giấy ra viện.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Giấy chứng nhận phẫu thuật.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Hồ sơ bệnh 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Trích lục khai tử hoặc Giấy báo tử hoặc văn bản xác nhận của cơ quan Công an hoặc kết quả giám định của cơ quan giám định pháp 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Hóa đơn, chứng từ hợp lý, hợp lệ về chi phí y tế.</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Tài liệu chứng minh thiệt hại về tài sản, bao gồm: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Hồ sơ sự cố công trình xây dựng trong trường hợp xảy ra sự cố công trình xây dựng (bản sao được chứng thực từ bản chính hoặc bản sao có xác nhận của bên lập hồ sơ) theo quy định tại </w:t>
      </w:r>
      <w:bookmarkStart w:id="110" w:name="dc_2"/>
      <w:r w:rsidRPr="00F1032B">
        <w:rPr>
          <w:rFonts w:ascii="Times New Roman" w:eastAsia="Times New Roman" w:hAnsi="Times New Roman" w:cs="Times New Roman"/>
          <w:color w:val="000000"/>
          <w:sz w:val="26"/>
          <w:szCs w:val="26"/>
        </w:rPr>
        <w:t>Điều 47 Nghị định số 06/2021/NĐ-CP</w:t>
      </w:r>
      <w:bookmarkEnd w:id="110"/>
      <w:r w:rsidRPr="00F1032B">
        <w:rPr>
          <w:rFonts w:ascii="Times New Roman" w:eastAsia="Times New Roman" w:hAnsi="Times New Roman" w:cs="Times New Roman"/>
          <w:color w:val="000000"/>
          <w:sz w:val="26"/>
          <w:szCs w:val="26"/>
        </w:rPr>
        <w:t> ngày 26 tháng 01 năm 2021 của Chính phủ quy định chi tiết một số nội dung về quản lý chất lượng, thi công xây dựng và bảo trì công trình xây dựng hoặc bằng chứng chứng minh tổn thất của công trình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Hóa đơn, chứng từ hợp lệ hoặc bằng chứng chứng minh về việc sửa chữa, thay mới tài sản bị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Các giấy tờ, hóa đơn, chứng từ liên quan đến chi phí phát sinh mà bên mua bảo hiểm đã chi ra để hạn chế tổn thất ở mức thấp nhất hoặc để thực hiện theo chỉ dẫn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Biên bản giám định nguyên nhân và mức độ thiệt hại do doanh nghiệp bảo hiểm hoặc người được doanh nghiệp bảo hiểm ủy quyền lập.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Các tài liệu khác có liên quan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có trách nhiệm thu thập và gửi doanh nghiệp bảo hiểm các tài liệu quy định tại khoản 1, khoản 2, khoản 3, khoản 4, khoản 5 và khoản 7 Điều này. Doanh nghiệp bảo hiểm có trách nhiệm thu thập tài liệu quy định tại khoản 6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1" w:name="muc_3_4"/>
      <w:r w:rsidRPr="00F1032B">
        <w:rPr>
          <w:rFonts w:ascii="Times New Roman" w:eastAsia="Times New Roman" w:hAnsi="Times New Roman" w:cs="Times New Roman"/>
          <w:b/>
          <w:bCs/>
          <w:color w:val="000000"/>
          <w:sz w:val="26"/>
          <w:szCs w:val="26"/>
        </w:rPr>
        <w:t>Mục 3. ĐIỀU KIỆN BẢO HIỂM, MỨC PHÍ BẢO HIỂM, GIỚI HẠN TRÁCH NHIỆM BẢO HIỂM BẮT BUỘC ĐỐI VỚI NGƯỜI LAO ĐỘNG THI CÔNG TRÊN CÔNG TRƯỜNG</w:t>
      </w:r>
      <w:bookmarkEnd w:id="111"/>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2" w:name="dieu_48"/>
      <w:r w:rsidRPr="00F1032B">
        <w:rPr>
          <w:rFonts w:ascii="Times New Roman" w:eastAsia="Times New Roman" w:hAnsi="Times New Roman" w:cs="Times New Roman"/>
          <w:b/>
          <w:bCs/>
          <w:color w:val="000000"/>
          <w:sz w:val="26"/>
          <w:szCs w:val="26"/>
        </w:rPr>
        <w:t>Điều 48. Đối tượng bảo hiểm</w:t>
      </w:r>
      <w:bookmarkEnd w:id="11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tượng bảo hiểm bắt buộc đối với người lao động thi công trên công trường là trách nhiệm dân sự của nhà thầu thi công xây dựng đối với người lao động thi công trên công trường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Giới hạn trách nhiệm bảo hiểm là 100 triệu đồng cho một người trong một vụ.</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3" w:name="dieu_49"/>
      <w:r w:rsidRPr="00F1032B">
        <w:rPr>
          <w:rFonts w:ascii="Times New Roman" w:eastAsia="Times New Roman" w:hAnsi="Times New Roman" w:cs="Times New Roman"/>
          <w:b/>
          <w:bCs/>
          <w:color w:val="000000"/>
          <w:sz w:val="26"/>
          <w:szCs w:val="26"/>
        </w:rPr>
        <w:t>Điều 49. Phạm vi bảo hiểm và loại trừ trách nhiệm bảo hiểm</w:t>
      </w:r>
      <w:bookmarkEnd w:id="11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trách nhiệm bồi thường cho nhà thầu thi công xây dựng những khoản tiền mà nhà thầu thi công xây dựng có trách nhiệm bồi thường cho người lao động bị thương tật, chết do tai nạn lao động, bệnh nghề nghiệp phát sinh do thực hiện công việc thi công trên công trường, trừ các trường hợp quy định tại khoản 2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không có trách nhiệm bồi thường bảo hiểm trong các trường hợp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Loại trừ trách nhiệm bảo hiểm quy định </w:t>
      </w:r>
      <w:bookmarkStart w:id="114" w:name="tc_24"/>
      <w:r w:rsidRPr="00F1032B">
        <w:rPr>
          <w:rFonts w:ascii="Times New Roman" w:eastAsia="Times New Roman" w:hAnsi="Times New Roman" w:cs="Times New Roman"/>
          <w:color w:val="0000FF"/>
          <w:sz w:val="26"/>
          <w:szCs w:val="26"/>
        </w:rPr>
        <w:t>điểm a, điểm b, điểm c, điểm d, điểm đ, điểm g, điểm h và điểm i khoản 2 Điều 34 Nghị định này</w:t>
      </w:r>
      <w:bookmarkEnd w:id="114"/>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Tổn thất có liên quan đến chất amiăng hoặc bất kỳ nguyên vật liệu nào có chứa chất amiăng.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Tổn thất phát sinh do mâu thuẫn của chính người lao động với người gây ra tai nạn mà không liên quan đến việc thực hiện công việc thi công trên công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Tổn thất phát sinh do người lao động cố ý tự hủy hoại sức khỏe của bản thân.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Tổn thất phát sinh do người lao động sử dụng chất gây nghiện, ma túy trái với quy định của pháp luật (trừ trường hợp thuốc được kê để điều trị theo chỉ định của bác sĩ được cấp phép).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Tổn thất phát sinh từ hành vi cố ý vi phạm pháp luật của bên mua bảo hiểm hoặc người được bảo hiểm (trừ trường hợp người lao động tự vệ, cứu người, cứu tài sản hoặc sử dụng các chất kích thích để điều trị theo chỉ định của bác sĩ).</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5" w:name="dieu_50"/>
      <w:r w:rsidRPr="00F1032B">
        <w:rPr>
          <w:rFonts w:ascii="Times New Roman" w:eastAsia="Times New Roman" w:hAnsi="Times New Roman" w:cs="Times New Roman"/>
          <w:b/>
          <w:bCs/>
          <w:color w:val="000000"/>
          <w:sz w:val="26"/>
          <w:szCs w:val="26"/>
        </w:rPr>
        <w:t>Điều 50. Thời hạn bảo hiểm</w:t>
      </w:r>
      <w:bookmarkEnd w:id="11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Thời hạn bảo hiểm bắt buộc đối với người lao động thi công trên công trường bắt đầu kể từ ngày thực hiện công việc thi công trên công trường đến hết thời gian bảo hành công trình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Việc xác định thời hạn bảo hiểm cụ thể đối với người lao động thi công trên công trường căn cứ vào hợp đồng lao động và văn bản xác nhận của nhà thầu thi công xây dựng về thời gian người lao động làm việc thực tế trên công trường.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6" w:name="dieu_51"/>
      <w:r w:rsidRPr="00F1032B">
        <w:rPr>
          <w:rFonts w:ascii="Times New Roman" w:eastAsia="Times New Roman" w:hAnsi="Times New Roman" w:cs="Times New Roman"/>
          <w:b/>
          <w:bCs/>
          <w:color w:val="000000"/>
          <w:sz w:val="26"/>
          <w:szCs w:val="26"/>
        </w:rPr>
        <w:t>Điều 51. Mức phí bảo hiểm</w:t>
      </w:r>
      <w:bookmarkEnd w:id="116"/>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phí bảo hiểm bắt buộc đối với người lao động thi công trên công trường được quy định tại </w:t>
      </w:r>
      <w:bookmarkStart w:id="117" w:name="bieumau_pl5"/>
      <w:r w:rsidRPr="00F1032B">
        <w:rPr>
          <w:rFonts w:ascii="Times New Roman" w:eastAsia="Times New Roman" w:hAnsi="Times New Roman" w:cs="Times New Roman"/>
          <w:color w:val="000000"/>
          <w:sz w:val="26"/>
          <w:szCs w:val="26"/>
        </w:rPr>
        <w:t>Phụ lục V</w:t>
      </w:r>
      <w:bookmarkEnd w:id="117"/>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Căn cứ vào mức độ rủi ro của đối tượng bảo hiểm, doanh nghiệp bảo hiểm được điều chỉnh tăng hoặc giảm phí bảo hiểm tối đa 25% tính trên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Trường hợp trong năm tài chính trước liền kề, đối tượng bảo hiểm là nguyên nhân trực tiếp dẫn đến số tiền chi bồi thường bảo hiểm gốc lớn hơn doanh thu phí bảo hiểm gốc của bảo hiểm bắt buộc đối với người lao động thi công trên công trường, trên cơ sở số liệu có </w:t>
      </w:r>
      <w:r w:rsidRPr="00F1032B">
        <w:rPr>
          <w:rFonts w:ascii="Times New Roman" w:eastAsia="Times New Roman" w:hAnsi="Times New Roman" w:cs="Times New Roman"/>
          <w:color w:val="000000"/>
          <w:sz w:val="26"/>
          <w:szCs w:val="26"/>
        </w:rPr>
        <w:lastRenderedPageBreak/>
        <w:t>xác nhận của chuyên gia tính toán của doanh nghiệp bảo hiểm và xác nhận của tổ chức kiểm toán độc lập, khi tái tục hợp đồng bảo hiểm, doanh nghiệp bảo hiểm và bên mua bảo hiểm có thể thỏa thuận mức phí bảo hiểm và mức khấu trừ bảo hiểm bảo đảm khả năng thanh toán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Trường hợp có sự thay đổi về số lượng lao động, thay đổi công việc của người lao động thực hiện theo hướng dẫn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Trước ngày 15 của tháng kế tiếp tháng có sự thay đổi, nhà thầu thi công xây dựng phải thông báo bằng văn bản cho doanh nghiệp bảo hiểm việc thay đổi nêu trên kèm theo danh sách người lao động phát sinh tăng hoặc giảm (đối với trường hợp thay đổi về số lượng lao động), danh sách công việc của người lao động thay đổi (đối với trường hợp thay đổi công việc của người lao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Trường hợp phát sinh tăng số lượng lao động, thay đổi công việc của người lao động làm tăng rủi ro được bảo hiểm, nhà thầu thi công xây dựng phải nộp phần phí bảo hiểm tăng thêm trước ngày 15 của tháng kế tiếp tháng thông báo.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Trường hợp phát sinh giảm số lượng lao động, thay đổi công việc của người lao động làm giảm rủi ro được bảo hiểm, doanh nghiệp bảo hiểm phải trả cho nhà thầu thi công xây dựng phần phí bảo hiểm giảm tương ứng với thời gian còn lại của hợp đồng bảo hiểm mà bên mua bảo hiểm đã thanh toán thừa trước ngày 15 của tháng kế tiếp tháng thông báo với điều kiện đến thời điểm đó hợp đồng bảo hiểm chưa phát sinh khiếu nại hoặc đã phát sinh khiếu nại nhưng không được doanh nghiệp bảo hiểm trả tiền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Nếu nhà thầu thi công xây dựng thực hiện đúng nghĩa vụ thông báo theo quy định tại điểm a khoản này và thanh toán phí bảo hiểm theo quy định tại điểm b khoản này, hợp đồng bảo hiểm tự động có hiệu lực đối với danh sách người lao động phát sinh tăng hoặc chấm dứt hiệu lực đối với danh sách người lao động phát sinh giảm; hợp đồng bảo hiểm tự động có hiệu lực đối với công việc được thay đổi của người lao động kể từ ngày phát sinh sự thay đổi thực tế theo đề nghị của người được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18" w:name="dieu_52"/>
      <w:r w:rsidRPr="00F1032B">
        <w:rPr>
          <w:rFonts w:ascii="Times New Roman" w:eastAsia="Times New Roman" w:hAnsi="Times New Roman" w:cs="Times New Roman"/>
          <w:b/>
          <w:bCs/>
          <w:color w:val="000000"/>
          <w:sz w:val="26"/>
          <w:szCs w:val="26"/>
        </w:rPr>
        <w:t>Điều 52. Nguyên tắc bồi thường bảo hiểm</w:t>
      </w:r>
      <w:bookmarkEnd w:id="11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xảy ra tai nạn lao động, bệnh nghề nghiệp đối với người lao động thi công trên công trường, bên mua bảo hiểm phối hợp với doanh nghiệp bảo hiểm giải quyết bồi thường bảo hiểm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Lập tức thông báo ngay cho doanh nghiệp bảo hiểm bằng các phương tiện thông tin liên lạc, sau đó trong thời hạn 14 ngày kể từ ngày xảy ra tai nạn lao động, bệnh nghề nghiệp đối với người lao động thi công trên công trường phải thông báo bằng văn bản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Thực hiện mọi biện pháp trong phạm vi khả năng để hạn chế thiệt hại ở mức thấp nhất.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c) Thực hiện, cho phép doanh nghiệp bảo hiểm thực hiện các hành động và biện pháp cần thiết hoặc theo yêu cầu của doanh nghiệp bảo hiểm nhằm bảo vệ quyền lợi mà doanh nghiệp bảo hiểm được hưởng sau khi bồi thường thiệt hại thuộc trách nhiệm bảo hiểm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Khi xảy ra tai nạn lao động, bệnh nghề nghiệp đối với người lao động thi công trên công trường, doanh nghiệp bảo hiểm hướng dẫn bên mua bảo hiểm, phối hợp với bên mua bảo hiểm và các cơ quan, tổ chức, cá nhân có liên quan thu thập đầy đủ các tài liệu để lập hồ sơ bồi thường; xác định nguyên nhân và mức độ thiệt hại.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Khi người lao động bị thương tật, chết do tai nạn lao động, bệnh nghề nghiệp phát sinh do thực hiện công việc thi công trên công trường thuộc trách nhiệm bảo hiểm, doanh nghiệp bảo hiểm sẽ có trách nhiệm chi trả những khoản tiền theo thỏa thuận giữa nhà thầu thi công và người lao động hoặc đại diện hợp pháp của người lao động (trong trường hợp người lao động đã chết), bao gồm các khoản chi trả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Phụ cấp nghỉ việc trong thời gian điều trị theo chỉ định của bác sĩ điều trị được tính căn cứ vào mức tiền lương theo hợp đồng lao động nhưng không vượt quá 6 tháng lương trong mỗi sự kiện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Chi phí y tế thực tế bao gồm: chi phí cấp cứu, chi phí điều trị nội, ngoại trú cần thiết và hợp lý.</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Trường hợp người lao động bị suy giảm khả năng lao động dưới 81%, mức bồi thường cụ thể cho từng loại thương tật, thiệt hại về người được xác định theo Bảng tỷ lệ trả tiền bồi thường bảo hiểm bắt buộc đối với người lao động thi công trên công trường theo </w:t>
      </w:r>
      <w:bookmarkStart w:id="119" w:name="bieumau_pl7"/>
      <w:r w:rsidRPr="00F1032B">
        <w:rPr>
          <w:rFonts w:ascii="Times New Roman" w:eastAsia="Times New Roman" w:hAnsi="Times New Roman" w:cs="Times New Roman"/>
          <w:color w:val="000000"/>
          <w:sz w:val="26"/>
          <w:szCs w:val="26"/>
        </w:rPr>
        <w:t>Phụ lục VII</w:t>
      </w:r>
      <w:bookmarkEnd w:id="119"/>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Trường hợp người lao động bị chết hoặc suy giảm khả năng lao động từ 81% trở lên, doanh nghiệp bảo hiểm sẽ chi trả 100 triệu đồng cho một người trong một vụ.</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số tiền bồi thường bảo hiểm theo quy định tại điểm a, điểm b, điểm c và điểm đ khoản nảy không vượt quá 100 triệu đồng cho một người trong một vụ đối với trường hợp tham gia giới hạn trách nhiệm bảo hiểm 100 triệu đồng.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Trường hợp tai nạn lao động xảy ra hoặc bệnh nghề nghiệp phát sinh gây thương tật cho người lao động và thương tật này bị làm trầm trọng thêm bởi các thương tật hoặc bệnh tật trước đó, doanh nghiệp bảo hiểm không chịu trách nhiệm bồi thường cho phần bị làm trầm trọng thêm đó.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0" w:name="dieu_53"/>
      <w:r w:rsidRPr="00F1032B">
        <w:rPr>
          <w:rFonts w:ascii="Times New Roman" w:eastAsia="Times New Roman" w:hAnsi="Times New Roman" w:cs="Times New Roman"/>
          <w:b/>
          <w:bCs/>
          <w:color w:val="000000"/>
          <w:sz w:val="26"/>
          <w:szCs w:val="26"/>
        </w:rPr>
        <w:t>Điều 53. Hồ sơ bồi thường bảo hiểm</w:t>
      </w:r>
      <w:bookmarkEnd w:id="12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có trách nhiệm phối hợp với bên mua bảo hiểm, người được bảo hiểm, các cơ quan, tổ chức có liên quan thu thập các tài liệu có liên quan để lập hồ sơ bồi thường. Hồ sơ bồi thường bảo hiểm bắt buộc đối với người lao động thi công trên công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 của bên mua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Tài liệu liên quan đến đối tượng bảo hiểm bao gồm: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a) Hợp đồng bảo hiểm, Giấy chứng nhận bảo hiểm, hợp đồng lao động ký giữa người được bảo hiểm và người lao động bị tai nạn lao động, bệnh nghề nghiệp, bảng chấm công.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Các văn bản yêu cầu bồi thường về tai nạn lao động, bệnh nghề nghiệp của người lao động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Tài liệu chứng minh người lao động bị thương tật, chết do tai nạn lao động (Bản sao được chứng thực từ bản chính hoặc bản sao có xác nhận của doanh nghiệp bảo hiểm sau khi đã đối chiếu với bản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Biên bản điều tra tai nạn lao động do cơ quan có thẩm quyền lập theo quy định của pháp luật (nếu có). Trường hợp người lao động bị tai nạn giao thông và được xác định là tai nạn lao động thì phải có biên bản tai nạn giao thông hoặc biên bản khám nghiệm hiện trường và sơ đồ hiện trường vụ tai nạn giao thông do các cơ quan có thẩm quyền lập theo quy định của pháp luật.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Tùy theo mức độ thiệt hại về người có thể bao gồm một hoặc một số các tài liệu sau: Giấy chứng nhận thương tích; Giấy ra viện; Giấy chứng nhận phẫu thuật; Hồ sơ bệnh án; Trích lục khai tử hoặc Giấy báo tử hoặc văn bản xác nhận của cơ quan Công an hoặc kết quả giám định của cơ quan giám định pháp 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Biên bản giám định mức suy giảm khả năng lao động của Hội đồng giám định y khoa đối với trường hợp người lao động bị suy giảm khả năng lao động từ 5% trở lên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Hóa đơn, chứng từ hợp lệ của các cơ sở y tế chứng minh việc điều trị thương tật do tai nạn lao động của người lao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Tài liệu chứng minh người lao động bị thương tật, chết do bệnh nghề nghiệp: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Biên bản đo đạc môi trường có yếu tố độc hại trong thời hạn quy định do cơ quan có thẩm quyền lập, trường hợp biên bản xác định cho nhiều người thì hồ sơ của mỗi người lao động phải có bản trích sao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Giấy ra viện (trường hợp không điều trị tại bệnh viện thì phải có giấy khám bệnh nghề nghiệp) hoặc phiếu hội chẩn mắc bệnh nghề nghiệp; Hồ sơ bệnh án; Trích lục khai tử hoặc Giấy báo tử (trong trường hợp người lao động chết).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Biên bản giám định mức suy giảm khả năng lao động của Hội đồng giám định y khoa đối với trường hợp người lao động bị suy giảm khả năng lao động từ 5% trở lên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Hóa đơn, chứng từ hợp lệ của các cơ sở y tế chứng minh việc điều trị thương tật do bệnh nghề nghiệp của người lao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Tài liệu chứng minh các khoản tiền mà nhà thầu thi công xây dựng đã thực hiện bồi thường cho người lao động bị thương tật, chết do tai nạn lao động, bệnh nghề nghiệp gây ra thuộc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Các tài liệu khác có liên quan (nếu có).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1" w:name="muc_4_4"/>
      <w:r w:rsidRPr="00F1032B">
        <w:rPr>
          <w:rFonts w:ascii="Times New Roman" w:eastAsia="Times New Roman" w:hAnsi="Times New Roman" w:cs="Times New Roman"/>
          <w:b/>
          <w:bCs/>
          <w:color w:val="000000"/>
          <w:sz w:val="26"/>
          <w:szCs w:val="26"/>
        </w:rPr>
        <w:lastRenderedPageBreak/>
        <w:t>Mục 4. ĐIỀU KIỆN BẢO HIỂM, MỨC PHÍ BẢO HIỂM, GIỚI HẠN TRÁCH NHIỆM BẢO HIỂM ĐỐI VỚI BẢO HIỂM BẮT BUỘC TRÁCH NHIỆM DÂN SỰ ĐỐI VỚI NGƯỜI THỨ BA</w:t>
      </w:r>
      <w:bookmarkEnd w:id="121"/>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2" w:name="dieu_54"/>
      <w:r w:rsidRPr="00F1032B">
        <w:rPr>
          <w:rFonts w:ascii="Times New Roman" w:eastAsia="Times New Roman" w:hAnsi="Times New Roman" w:cs="Times New Roman"/>
          <w:b/>
          <w:bCs/>
          <w:color w:val="000000"/>
          <w:sz w:val="26"/>
          <w:szCs w:val="26"/>
        </w:rPr>
        <w:t>Điều 54. Đối tượng bảo hiểm</w:t>
      </w:r>
      <w:bookmarkEnd w:id="12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Đối tượng bảo hiểm bắt buộc trách nhiệm dân sự đối với người thứ ba là trách nhiệm dân sự của nhà thầu thi công xây dựng đối với người thứ ba trong quá trình thi công xây dựng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3" w:name="dieu_55"/>
      <w:r w:rsidRPr="00F1032B">
        <w:rPr>
          <w:rFonts w:ascii="Times New Roman" w:eastAsia="Times New Roman" w:hAnsi="Times New Roman" w:cs="Times New Roman"/>
          <w:b/>
          <w:bCs/>
          <w:color w:val="000000"/>
          <w:sz w:val="26"/>
          <w:szCs w:val="26"/>
        </w:rPr>
        <w:t>Điều 55. Giới hạn trách nhiệm bảo hiểm</w:t>
      </w:r>
      <w:bookmarkEnd w:id="12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Giới hạn trách nhiệm bảo hiểm đối với bảo hiểm bắt buộc trách nhiệm dân sự đối với người thứ ba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Giới hạn trách nhiệm bảo hiểm đối với thiệt hại về sức khỏe, tính mạng là 100 triệu đồng cho một người trong một vụ và không giới hạn số vụ tổn thất.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Giới hạn trách nhiệm bảo hiểm đối với thiệt hại về tài sản và chi phí pháp lý có liên quan (nếu có) được xác định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công trình có giá trị dưới 1.000 tỷ đồng, giới hạn trách nhiệm bảo hiểm đối với thiệt hại về tài sản và chi phí pháp lý có liên quan (nếu có) là 10% giá trị công trình cho cả thời hạn bảo hiểm và không giới hạn số vụ tổn thất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công trình có giá trị từ 1.000 tỷ đồng trở lên, giới hạn trách nhiệm bảo hiểm đối với thiệt hại về tài sản và chi phí pháp lý có liên quan (nếu có) là 100 tỷ đồng cho cả thời hạn bảo hiểm và không giới hạn số vụ tổn thất.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4" w:name="dieu_56"/>
      <w:r w:rsidRPr="00F1032B">
        <w:rPr>
          <w:rFonts w:ascii="Times New Roman" w:eastAsia="Times New Roman" w:hAnsi="Times New Roman" w:cs="Times New Roman"/>
          <w:b/>
          <w:bCs/>
          <w:color w:val="000000"/>
          <w:sz w:val="26"/>
          <w:szCs w:val="26"/>
        </w:rPr>
        <w:t>Điều 56. Phạm vi bảo hiểm và loại trừ trách nhiệm bảo hiểm</w:t>
      </w:r>
      <w:bookmarkEnd w:id="12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Phạm vi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bồi thường cho nhà thầu thi công xây dựng những khoản tiền mà nhà thầu thi công xây dựng có trách nhiệm bồi thường cho người thứ ba đối với những thiệt hại về sức khỏe, tính mạng và tài sản phát sinh trực tiếp trong quá trình thi công xây dựng và chi phí pháp lý có liên quan (nếu có) thuộc phạm vi trách nhiệm bảo hiểm theo thỏa thuận tại hợp đồng bảo hiểm, trừ các trường hợp quy định tại khoản 2 Điều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loại trừ trách nhiệm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không có trách nhiệm bồi thường bảo hiểm trong các trường hợp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Loại trừ trách nhiệm bảo hiểm quy định </w:t>
      </w:r>
      <w:bookmarkStart w:id="125" w:name="tc_25"/>
      <w:r w:rsidRPr="00F1032B">
        <w:rPr>
          <w:rFonts w:ascii="Times New Roman" w:eastAsia="Times New Roman" w:hAnsi="Times New Roman" w:cs="Times New Roman"/>
          <w:color w:val="0000FF"/>
          <w:sz w:val="26"/>
          <w:szCs w:val="26"/>
        </w:rPr>
        <w:t>điểm a, điểm b, điểm c, điểm d, điểm đ, điểm e, điểm g, điểm h và điểm i khoản 2 Điều 34 Nghị định này</w:t>
      </w:r>
      <w:bookmarkEnd w:id="125"/>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Tổn thất phát sinh từ sự ô nhiễm hoặc nhiễm bẩn. Loại trừ này không áp dụng đối với thiệt hại về sức khỏe, tính mạng, tài sản phát sinh từ sự ô nhiễm hoặc nhiễm bẩn do rủi ro bất ngờ, không lường trước được.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c) Thiệt hại do chấn động hoặc do bộ phận chịu lực và địa chất công trình bị dịch chuyển hay suy yếu hoặc thương tật hay thiệt hại đối với người hoặc tài sản do bất kỳ tổn thất nào nêu trên gây ra (trừ khi được thoả thuận bằng điều khoản sửa đổi bổ sung).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Thiệt hại là hậu quả của tai nạn gây ra bởi xe cơ giới hay các phương tiện tàu thuyền, xà lan hay máy bay đã tham gia bảo hiểm trách nhiệm dân sự của chủ phương tiện đối với người thứ ba.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Trách nhiệm là hậu quả của các thương tật hay ốm đau gây ra cho người lao động của chủ đầu tư hoặc nhà thầu có liên quan đến công trình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e) Tổn thất xảy ra đối với tài sản thuộc sở hữu hoặc thuộc quyền quản lý, sử dụng hợp pháp của chủ đầu tư hoặc nhà thầu hay của người lao động hoặc công nhân của một trong những người trên.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Tổn thất có liên quan đến chất amiăng hoặc bất kỳ nguyên vật liệu nào có chứa chất amiăng.</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6" w:name="dieu_57"/>
      <w:r w:rsidRPr="00F1032B">
        <w:rPr>
          <w:rFonts w:ascii="Times New Roman" w:eastAsia="Times New Roman" w:hAnsi="Times New Roman" w:cs="Times New Roman"/>
          <w:b/>
          <w:bCs/>
          <w:color w:val="000000"/>
          <w:sz w:val="26"/>
          <w:szCs w:val="26"/>
        </w:rPr>
        <w:t>Điều 57. Thời hạn bảo hiểm</w:t>
      </w:r>
      <w:bookmarkEnd w:id="126"/>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hạn bảo hiểm bắt buộc trách nhiệm dân sự đối người thứ ba là khoảng thời gian cụ thể, tính từ ngày bắt đầu đến ngày kết thúc thời gian xây dựng căn cứ vào hợp đồng xây dựng và được ghi trong hợp đồng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27" w:name="dieu_58"/>
      <w:r w:rsidRPr="00F1032B">
        <w:rPr>
          <w:rFonts w:ascii="Times New Roman" w:eastAsia="Times New Roman" w:hAnsi="Times New Roman" w:cs="Times New Roman"/>
          <w:b/>
          <w:bCs/>
          <w:color w:val="000000"/>
          <w:sz w:val="26"/>
          <w:szCs w:val="26"/>
        </w:rPr>
        <w:t>Điều 58. Mức phí bảo hiểm và mức khấu trừ bảo hiểm</w:t>
      </w:r>
      <w:bookmarkEnd w:id="12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Mức phí bảo hiểm và mức khấu trừ bảo hiểm bắt buộc trách nhiệm dân sự đối với người thứ ba được quy định cụ thể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Mức phí bảo hiểm được tính bằng 5% mức phí bảo hiểm bắt buộc đối với công trình xây dựng tương ứng quy định tại </w:t>
      </w:r>
      <w:bookmarkStart w:id="128" w:name="tc_26"/>
      <w:r w:rsidRPr="00F1032B">
        <w:rPr>
          <w:rFonts w:ascii="Times New Roman" w:eastAsia="Times New Roman" w:hAnsi="Times New Roman" w:cs="Times New Roman"/>
          <w:color w:val="0000FF"/>
          <w:sz w:val="26"/>
          <w:szCs w:val="26"/>
        </w:rPr>
        <w:t>điểm a, điểm b khoản 1 Điều 37 Nghị định này</w:t>
      </w:r>
      <w:bookmarkEnd w:id="128"/>
      <w:r w:rsidRPr="00F1032B">
        <w:rPr>
          <w:rFonts w:ascii="Times New Roman" w:eastAsia="Times New Roman" w:hAnsi="Times New Roman" w:cs="Times New Roman"/>
          <w:color w:val="000000"/>
          <w:sz w:val="26"/>
          <w:szCs w:val="26"/>
        </w:rPr>
        <w:t>. Mức khấu trừ bảo hiểm đối với thiệt hại về tài sản và chi phí pháp lý có liên quan (nếu có) bằng 5% giới hạn trách nhiệm bảo hiểm đối với thiệt hại về tài sản và chi phí pháp lý có liên quan (nếu có), hoặc 20 triệu đồng, tùy theo số nào lớn hơn. Căn cứ vào mức độ rủi ro của đối tượng bảo hiểm, doanh nghiệp bảo hiểm được điều chỉnh tăng hoặc giảm phí bảo hiểm tối đa 25% tính trên phí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trong năm tài chính trước liền kề, đối tượng bảo hiểm là nguyên nhân trực tiếp dẫn đến số tiền chi bồi thường bảo hiểm gốc lớn hơn doanh thu phí bảo hiểm gốc của bảo hiểm bắt buộc trách nhiệm dân sự đối với người thứ ba, trên cơ sở số liệu có xác nhận của chuyên gia tính toán của doanh nghiệp bảo hiểm và xác nhận của tổ chức kiểm toán độc lập, khi tái tục hợp đồng bảo hiểm, doanh nghiệp bảo hiểm và bên mua bảo hiểm có thể thỏa thuận mức phí bảo hiểm và mức khấu trừ bảo hiểm bảo đảm khả năng thanh toán của doanh nghiệp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công trình xây dựng không được quy định tại </w:t>
      </w:r>
      <w:bookmarkStart w:id="129" w:name="tc_27"/>
      <w:r w:rsidRPr="00F1032B">
        <w:rPr>
          <w:rFonts w:ascii="Times New Roman" w:eastAsia="Times New Roman" w:hAnsi="Times New Roman" w:cs="Times New Roman"/>
          <w:color w:val="0000FF"/>
          <w:sz w:val="26"/>
          <w:szCs w:val="26"/>
        </w:rPr>
        <w:t>điểm a, điểm b khoản 1 Điều 37 Nghị định này</w:t>
      </w:r>
      <w:bookmarkEnd w:id="129"/>
      <w:r w:rsidRPr="00F1032B">
        <w:rPr>
          <w:rFonts w:ascii="Times New Roman" w:eastAsia="Times New Roman" w:hAnsi="Times New Roman" w:cs="Times New Roman"/>
          <w:color w:val="000000"/>
          <w:sz w:val="26"/>
          <w:szCs w:val="26"/>
        </w:rPr>
        <w:t xml:space="preserve">: Doanh nghiệp bảo hiểm và bên mua bảo hiểm có thể thỏa thuận quy tắc, điều khoản, mức phí bảo hiểm và mức khấu trừ bảo hiểm trên cơ sở bằng chứng chứng minh doanh nghiệp, tổ chức bảo hiểm nước ngoài đứng đầu nhận tái bảo hiểm xác nhận </w:t>
      </w:r>
      <w:r w:rsidRPr="00F1032B">
        <w:rPr>
          <w:rFonts w:ascii="Times New Roman" w:eastAsia="Times New Roman" w:hAnsi="Times New Roman" w:cs="Times New Roman"/>
          <w:color w:val="000000"/>
          <w:sz w:val="26"/>
          <w:szCs w:val="26"/>
        </w:rPr>
        <w:lastRenderedPageBreak/>
        <w:t>nhận tái bảo hiểm theo đúng quy tắc, điều khoản, mức phí bảo hiểm và mức khấu trừ bảo hiểm mà doanh nghiệp bảo hiểm cung cấp cho bên mua bảo hiểm. Doanh nghiệp, tổ chức bảo hiểm nước ngoài đứng đầu nhận tái bảo hiểm và doanh nghiệp, tổ chức bảo hiểm nước ngoài nhận tái bảo hiểm từ 10% tổng mức trách nhiệm của mỗi hợp đồng tái bảo hiểm phải đáp ứng quy định tại </w:t>
      </w:r>
      <w:bookmarkStart w:id="130" w:name="tc_28"/>
      <w:r w:rsidRPr="00F1032B">
        <w:rPr>
          <w:rFonts w:ascii="Times New Roman" w:eastAsia="Times New Roman" w:hAnsi="Times New Roman" w:cs="Times New Roman"/>
          <w:color w:val="0000FF"/>
          <w:sz w:val="26"/>
          <w:szCs w:val="26"/>
        </w:rPr>
        <w:t>khoản 9 Điều 4 Nghị định này</w:t>
      </w:r>
      <w:bookmarkEnd w:id="130"/>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thời gian xây dựng công trình bị kéo dài so với thời gian quy định tại văn bản của cấp có thẩm quyền quyết định đầu tư khi giao kết hợp đồng bảo hiểm, bên mua bảo hiểm và doanh nghiệp bảo hiểm có thể thỏa thuận phí bảo hiểm bổ sung áp dụng cho khoảng thời gian bị kéo dài. Phí bảo hiểm bổ sung (nếu có) được tính căn cứ vào phí bảo hiểm quy định tại khoản 1 Điều này, tỷ lệ thời gian xây dựng kéo dài trên tổng thời gian xây dựng công trình theo văn bản của cấp có thẩm quyền quyết định đầu tư khi giao kết hợp đồng bảo hiểm và các yếu tố rủi ro khác.</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31" w:name="dieu_59"/>
      <w:r w:rsidRPr="00F1032B">
        <w:rPr>
          <w:rFonts w:ascii="Times New Roman" w:eastAsia="Times New Roman" w:hAnsi="Times New Roman" w:cs="Times New Roman"/>
          <w:b/>
          <w:bCs/>
          <w:color w:val="000000"/>
          <w:sz w:val="26"/>
          <w:szCs w:val="26"/>
        </w:rPr>
        <w:t>Điều 59. Nguyên tắc bồi thường bảo hiểm</w:t>
      </w:r>
      <w:bookmarkEnd w:id="13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Doanh nghiệp bảo hiểm thực hiện xem xét, giải quyết bồi thường bảo hiểm theo quy định pháp luật về kinh doanh bảo hiểm và theo nguyên tắc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Khi người thứ ba bị thiệt hại về sức khỏe, tính mạng, tài sản phát sinh trực tiếp trong quá trình thi công xây dựng thuộc trách nhiệm bảo hiểm, doanh nghiệp bảo hiểm sẽ có trách nhiệm chi trả cho bên mua bảo hiểm theo mức bồi thường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Mức bồi thường cụ thể về sức khỏe, tính mạng được xác định theo từng loại thương tật theo Bảng quy định trả tiền bồi thường thiệt hại về sức khỏe, tính mạng theo quy định tại </w:t>
      </w:r>
      <w:bookmarkStart w:id="132" w:name="bieumau_pl6_5"/>
      <w:r w:rsidRPr="00F1032B">
        <w:rPr>
          <w:rFonts w:ascii="Times New Roman" w:eastAsia="Times New Roman" w:hAnsi="Times New Roman" w:cs="Times New Roman"/>
          <w:color w:val="000000"/>
          <w:sz w:val="26"/>
          <w:szCs w:val="26"/>
        </w:rPr>
        <w:t>Phụ lục VI</w:t>
      </w:r>
      <w:bookmarkEnd w:id="132"/>
      <w:r w:rsidRPr="00F1032B">
        <w:rPr>
          <w:rFonts w:ascii="Times New Roman" w:eastAsia="Times New Roman" w:hAnsi="Times New Roman" w:cs="Times New Roman"/>
          <w:color w:val="000000"/>
          <w:sz w:val="26"/>
          <w:szCs w:val="26"/>
        </w:rPr>
        <w:t> ban hành kèm theo Nghị định này hoặc theo thỏa thuận (nếu có) giữa người được bảo hiểm và người bị thiệt hại hoặc người thừa kế của người bị thiệt hại (trong trường hợp người bị thiệt hại đã chết) hoặc đại diện của người bị thiệt hại (trong trường hợp người bị thiệt hại mất năng lực hành vi dân sự theo quyết định của Tòa án hoặc chưa thành niên theo quy định của Bộ luật Dân sự) nhưng không vượt quá mức bồi thường quy định tại </w:t>
      </w:r>
      <w:bookmarkStart w:id="133" w:name="bieumau_pl6_6"/>
      <w:r w:rsidRPr="00F1032B">
        <w:rPr>
          <w:rFonts w:ascii="Times New Roman" w:eastAsia="Times New Roman" w:hAnsi="Times New Roman" w:cs="Times New Roman"/>
          <w:color w:val="000000"/>
          <w:sz w:val="26"/>
          <w:szCs w:val="26"/>
        </w:rPr>
        <w:t>Phụ lục VI</w:t>
      </w:r>
      <w:bookmarkEnd w:id="133"/>
      <w:r w:rsidRPr="00F1032B">
        <w:rPr>
          <w:rFonts w:ascii="Times New Roman" w:eastAsia="Times New Roman" w:hAnsi="Times New Roman" w:cs="Times New Roman"/>
          <w:color w:val="000000"/>
          <w:sz w:val="26"/>
          <w:szCs w:val="26"/>
        </w:rPr>
        <w:t> ban hành kèm theo Nghị định này. Trường hợp có quyết định của Tòa án thì căn cứ vào quyết định của Tòa án nhưng không vượt quá mức bồi thường quy định </w:t>
      </w:r>
      <w:bookmarkStart w:id="134" w:name="bieumau_pl6_7"/>
      <w:r w:rsidRPr="00F1032B">
        <w:rPr>
          <w:rFonts w:ascii="Times New Roman" w:eastAsia="Times New Roman" w:hAnsi="Times New Roman" w:cs="Times New Roman"/>
          <w:color w:val="000000"/>
          <w:sz w:val="26"/>
          <w:szCs w:val="26"/>
        </w:rPr>
        <w:t>Phụ lục VI</w:t>
      </w:r>
      <w:bookmarkEnd w:id="134"/>
      <w:r w:rsidRPr="00F1032B">
        <w:rPr>
          <w:rFonts w:ascii="Times New Roman" w:eastAsia="Times New Roman" w:hAnsi="Times New Roman" w:cs="Times New Roman"/>
          <w:color w:val="000000"/>
          <w:sz w:val="26"/>
          <w:szCs w:val="26"/>
        </w:rPr>
        <w:t> ban hành kèm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Mức bồi thường cụ thể về thiệt hại đối với tài sản trong một vụ tổn thất được xác định theo thiệt hại thực tế và mức độ lỗi nhưng không vượt quá giới hạn trách nhiệm bảo hiểm theo thỏa thuận tại hợp đồng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Chi phí pháp lý có liên quan (nếu có).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số tiền bồi thường bảo hiểm của doanh nghiệp bảo hiểm quy định tại khoản này không vượt quá giới hạn trách nhiệm bảo hiểm quy định tại </w:t>
      </w:r>
      <w:bookmarkStart w:id="135" w:name="tc_29"/>
      <w:r w:rsidRPr="00F1032B">
        <w:rPr>
          <w:rFonts w:ascii="Times New Roman" w:eastAsia="Times New Roman" w:hAnsi="Times New Roman" w:cs="Times New Roman"/>
          <w:color w:val="0000FF"/>
          <w:sz w:val="26"/>
          <w:szCs w:val="26"/>
        </w:rPr>
        <w:t>Điều 55 Nghị định này</w:t>
      </w:r>
      <w:bookmarkEnd w:id="135"/>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Khi có yêu cầu đòi bồi thường của người thứ ba, bên mua bảo hiểm phối hợp với doanh nghiệp bảo hiểm giải quyết bồi thường bảo hiểm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Lập tức thông báo ngay cho doanh nghiệp bảo hiểm bằng các phương tiện thông tin liên lạc, sau đó trong thời hạn 14 ngày kể từ ngày nhận được yêu cầu đòi bồi thường của người thứ ba phải thông báo bằng văn bản cho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b) Thực hiện mọi biện pháp trong phạm vi khả năng để hạn chế tổn thất ở mức thấp nhất.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Thực hiện, phối hợp, cho phép doanh nghiệp bảo hiểm thực hiện các hành động và biện pháp cần thiết hoặc theo yêu cầu của doanh nghiệp bảo hiểm nhằm bảo vệ quyền lợi mà doanh nghiệp bảo hiểm được hưởng sau khi bồi thường thiệt hại thuộc trách nhiệm bảo hiểm theo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Khi có yêu cầu đòi bồi thường của người thứ ba, doanh nghiệp bảo hiểm thực hiện giải quyết bồi thường bảo hiểm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Giám định tổn thất theo quy định pháp luật và lập biên bản giám định nguyên nhân và mức độ thiệt hại theo quy định tại </w:t>
      </w:r>
      <w:bookmarkStart w:id="136" w:name="tc_30"/>
      <w:r w:rsidRPr="00F1032B">
        <w:rPr>
          <w:rFonts w:ascii="Times New Roman" w:eastAsia="Times New Roman" w:hAnsi="Times New Roman" w:cs="Times New Roman"/>
          <w:color w:val="0000FF"/>
          <w:sz w:val="26"/>
          <w:szCs w:val="26"/>
        </w:rPr>
        <w:t>khoản 6 Điều 60 Nghị định này</w:t>
      </w:r>
      <w:bookmarkEnd w:id="136"/>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Hướng dẫn bên mua bảo hiểm, phối hợp với bên mua bảo hiểm và các cơ quan, tổ chức, cá nhân có liên quan thu thập đầy đủ các tài liệu để lập hồ sơ bồi thường.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Phối hợp với bên mua bảo hiểm để giải quyết yêu cầu bồi thường thiệt hại của người thứ ba thuộc trách nhiệm bảo hiểm khi xảy ra sự kiện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37" w:name="dieu_60"/>
      <w:r w:rsidRPr="00F1032B">
        <w:rPr>
          <w:rFonts w:ascii="Times New Roman" w:eastAsia="Times New Roman" w:hAnsi="Times New Roman" w:cs="Times New Roman"/>
          <w:b/>
          <w:bCs/>
          <w:color w:val="000000"/>
          <w:sz w:val="26"/>
          <w:szCs w:val="26"/>
        </w:rPr>
        <w:t>Điều 60. Hồ sơ bồi thường bảo hiểm</w:t>
      </w:r>
      <w:bookmarkEnd w:id="13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sơ bồi thường bảo hiểm bắt buộc trách nhiệm dân sự đối với người thứ ba bao gồm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Văn bản yêu cầu bồi thường của bên mua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Tài liệu liên quan đến đối tượng bảo hiểm bao gồm: Hợp đồng bảo hiểm,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Văn bản yêu cầu bồi thường của người thứ ba đối với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Tài liệu chứng minh thiệt hại về sức khỏe, tính mạng của người thứ ba (Bản sao được chứng thực từ bản chính hoặc chứng thực của các cơ sở khám bệnh, chữa bệnh hoặc bản sao có xác nhận của doanh nghiệp bảo hiểm sau khi đã đối chiếu với bản chính) do bên mua bảo hiểm, người được bảo hiểm cung cấp. Tùy theo mức độ thiệt hại về người có thể bao gồm một hoặc một số các tài liệu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Giấy chứng nhận thương tích.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Giấy ra viện.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Giấy chứng nhận phẫu thuật.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Hồ sơ bệnh án.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Trích lục khai tử hoặc Giấy báo tử hoặc văn bản xác nhận của cơ quan Công an hoặc kết quả giám định của cơ quan giám định pháp 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Tài liệu chứng minh thiệt hại về tài sản, bao gồm: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Hồ sơ sự cố công trình xây dựng trong trường hợp xảy ra sự cố công trình xây dựng (bản sao được chứng thực từ bản chính hoặc bản sao có xác nhận của bên lập hồ sơ) theo quy định tại </w:t>
      </w:r>
      <w:bookmarkStart w:id="138" w:name="dc_3"/>
      <w:r w:rsidRPr="00F1032B">
        <w:rPr>
          <w:rFonts w:ascii="Times New Roman" w:eastAsia="Times New Roman" w:hAnsi="Times New Roman" w:cs="Times New Roman"/>
          <w:color w:val="000000"/>
          <w:sz w:val="26"/>
          <w:szCs w:val="26"/>
        </w:rPr>
        <w:t>Điều 47 Nghị định số 06/2021/NĐ-CP</w:t>
      </w:r>
      <w:bookmarkEnd w:id="138"/>
      <w:r w:rsidRPr="00F1032B">
        <w:rPr>
          <w:rFonts w:ascii="Times New Roman" w:eastAsia="Times New Roman" w:hAnsi="Times New Roman" w:cs="Times New Roman"/>
          <w:color w:val="000000"/>
          <w:sz w:val="26"/>
          <w:szCs w:val="26"/>
        </w:rPr>
        <w:t xml:space="preserve"> ngày 26 tháng 01 năm 2021 của Chính phủ quy định chi tiết một số nội dung về quản lý chất lượng, thi công xây dựng và </w:t>
      </w:r>
      <w:r w:rsidRPr="00F1032B">
        <w:rPr>
          <w:rFonts w:ascii="Times New Roman" w:eastAsia="Times New Roman" w:hAnsi="Times New Roman" w:cs="Times New Roman"/>
          <w:color w:val="000000"/>
          <w:sz w:val="26"/>
          <w:szCs w:val="26"/>
        </w:rPr>
        <w:lastRenderedPageBreak/>
        <w:t>bảo trì công trình xây dựng hoặc bằng chứng chứng minh tổn thất của công trình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Hóa đơn, chứng từ hợp lệ trong trường hợp sửa chữa, thay mới tài sản.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Biên bản giám định nguyên nhân và mức độ thiệt hại do doanh nghiệp bảo hiểm hoặc người được doanh nghiệp bảo hiểm ủy quyền lập.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Quyết định của Tòa án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Các tài liệu khác có liên quan (nếu có).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Bên mua bảo hiểm, người được bảo hiểm có trách nhiệm thu thập và gửi doanh nghiệp bảo hiểm các tài liệu quy định tại khoản 1, khoản 2, khoản 3, khoản 4, khoản 5, khoản 7 và khoản 8 Điều này. Doanh nghiệp bảo hiểm có trách nhiệm thu thập tài liệu quy định tại khoản 6 Điều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39" w:name="chuong_5"/>
      <w:r w:rsidRPr="00F1032B">
        <w:rPr>
          <w:rFonts w:ascii="Times New Roman" w:eastAsia="Times New Roman" w:hAnsi="Times New Roman" w:cs="Times New Roman"/>
          <w:b/>
          <w:bCs/>
          <w:color w:val="000000"/>
          <w:sz w:val="26"/>
          <w:szCs w:val="26"/>
        </w:rPr>
        <w:t>Chương V</w:t>
      </w:r>
      <w:bookmarkEnd w:id="139"/>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40" w:name="chuong_5_name"/>
      <w:r w:rsidRPr="00F1032B">
        <w:rPr>
          <w:rFonts w:ascii="Times New Roman" w:eastAsia="Times New Roman" w:hAnsi="Times New Roman" w:cs="Times New Roman"/>
          <w:b/>
          <w:bCs/>
          <w:color w:val="000000"/>
          <w:sz w:val="26"/>
          <w:szCs w:val="26"/>
        </w:rPr>
        <w:t>TỔ CHỨC THỰC HIỆN</w:t>
      </w:r>
      <w:bookmarkEnd w:id="140"/>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1" w:name="dieu_61"/>
      <w:r w:rsidRPr="00F1032B">
        <w:rPr>
          <w:rFonts w:ascii="Times New Roman" w:eastAsia="Times New Roman" w:hAnsi="Times New Roman" w:cs="Times New Roman"/>
          <w:b/>
          <w:bCs/>
          <w:color w:val="000000"/>
          <w:sz w:val="26"/>
          <w:szCs w:val="26"/>
        </w:rPr>
        <w:t>Điều 61. Trách nhiệm của Bộ Tài chính</w:t>
      </w:r>
      <w:bookmarkEnd w:id="14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 chức tuyên truyền thực hiện bảo hiểm bắt buộc theo chức năng, nhiệm vụ quản lý nhà nước.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Kiểm tra, giám sát việc quản lý, sử dụng, thanh toán và quyết toán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Chủ trì thanh tra, kiểm tra, giám sát các doanh nghiệp bảo hiểm trong việc thực hiện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Xử lý các hành vi vi phạm quy định pháp luật về bảo hiểm bắt buộc của doanh nghiệp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Bộ Tài chính ban hành Quyết định thành lập, bổ nhiệm các thành viên của Cơ quan Quốc gia Việt Nam thực hiện Nghị định thư số 5 về Chương trình bảo hiểm bắt buộc xe cơ giới ASEAN.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2" w:name="dieu_62"/>
      <w:r w:rsidRPr="00F1032B">
        <w:rPr>
          <w:rFonts w:ascii="Times New Roman" w:eastAsia="Times New Roman" w:hAnsi="Times New Roman" w:cs="Times New Roman"/>
          <w:b/>
          <w:bCs/>
          <w:color w:val="000000"/>
          <w:sz w:val="26"/>
          <w:szCs w:val="26"/>
        </w:rPr>
        <w:t>Điều 62. Trách nhiệm của Bộ Công an</w:t>
      </w:r>
      <w:bookmarkEnd w:id="14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tuyên truyền, phổ biến pháp luật về bảo hiểm bắt buộc trách nhiệm dân sự của chủ xe cơ giới,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Kiểm tra, xử lý các hành vi vi phạm quy định pháp luật về bảo hiểm bắt buộc trách nhiệm dân sự của chủ xe cơ giới, bảo hiểm cháy, nổ bắt buộc của các cơ sở có nguy hiểm về cháy, nổ.</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Công bố danh sách các cơ sở có nguy hiểm về cháy, nổ (trừ các cơ sở liên quan đến quốc phòng, an ninh và bí mật nhà nước) chậm nhất là ngày 31 tháng 12 hàng năm trên Cổng thông tin điện tử của Bộ Công 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4. Ghi hạng nguy hiểm cháy, nổ đối với cơ sở công nghiệp có hạng nguy hiểm cháy, nổ A, B, C, D, E tại Biên bản kiểm tra kết quả nghiệm thu về phòng cháy và chữa cháy hoặc </w:t>
      </w:r>
      <w:r w:rsidRPr="00F1032B">
        <w:rPr>
          <w:rFonts w:ascii="Times New Roman" w:eastAsia="Times New Roman" w:hAnsi="Times New Roman" w:cs="Times New Roman"/>
          <w:color w:val="000000"/>
          <w:sz w:val="26"/>
          <w:szCs w:val="26"/>
        </w:rPr>
        <w:lastRenderedPageBreak/>
        <w:t>Biên bản kiểm tra an toàn về phòng cháy và chữa cháy trên cơ sở xác định hạng nguy hiểm cháy, nổ của cơ quan, tổ chức và cá nhân có cơ sở có nguy hiểm về cháy, nổ.</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Chỉ đạo lực lượng Cảnh sát giao thông, Cảnh sát điều tra cung cấp bản sao các tài liệu liên quan đến các vụ tai nạn giao thông theo quy định tại </w:t>
      </w:r>
      <w:bookmarkStart w:id="143" w:name="tc_31"/>
      <w:r w:rsidRPr="00F1032B">
        <w:rPr>
          <w:rFonts w:ascii="Times New Roman" w:eastAsia="Times New Roman" w:hAnsi="Times New Roman" w:cs="Times New Roman"/>
          <w:color w:val="0000FF"/>
          <w:sz w:val="26"/>
          <w:szCs w:val="26"/>
        </w:rPr>
        <w:t>khoản 5 Điều 13 Nghị định này</w:t>
      </w:r>
      <w:bookmarkEnd w:id="143"/>
      <w:r w:rsidRPr="00F1032B">
        <w:rPr>
          <w:rFonts w:ascii="Times New Roman" w:eastAsia="Times New Roman" w:hAnsi="Times New Roman" w:cs="Times New Roman"/>
          <w:color w:val="000000"/>
          <w:sz w:val="26"/>
          <w:szCs w:val="26"/>
        </w:rPr>
        <w:t>, trong thời hạn 5 ngày làm việc kể từ ngày có kết quả điều tra.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Thực hiện việc chia sẻ và cung cấp thông tin do ngành Công an quản lý vào cơ sở dữ liệu về bảo hiểm bắt buộc trách nhiệm dân sự của chủ xe cơ giới phục vụ công tác quản lý bảo hiểm bắt buộc trách nhiệm dân sự của chủ xe cơ giới theo quy định pháp luật về quản lý kết nối và chia sẻ dữ liệu số của cơ quan nhà nước.</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Quyết định những trường hợp được khen thưởng và mức khen thưởng đột xuất quy định tại </w:t>
      </w:r>
      <w:bookmarkStart w:id="144" w:name="tc_32"/>
      <w:r w:rsidRPr="00F1032B">
        <w:rPr>
          <w:rFonts w:ascii="Times New Roman" w:eastAsia="Times New Roman" w:hAnsi="Times New Roman" w:cs="Times New Roman"/>
          <w:color w:val="0000FF"/>
          <w:sz w:val="26"/>
          <w:szCs w:val="26"/>
        </w:rPr>
        <w:t>điểm d khoản 2 Điều 31 Nghị định này</w:t>
      </w:r>
      <w:bookmarkEnd w:id="144"/>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5" w:name="dieu_63"/>
      <w:r w:rsidRPr="00F1032B">
        <w:rPr>
          <w:rFonts w:ascii="Times New Roman" w:eastAsia="Times New Roman" w:hAnsi="Times New Roman" w:cs="Times New Roman"/>
          <w:b/>
          <w:bCs/>
          <w:color w:val="000000"/>
          <w:sz w:val="26"/>
          <w:szCs w:val="26"/>
        </w:rPr>
        <w:t>Điều 63. Trách nhiệm của Bộ Xây dựng</w:t>
      </w:r>
      <w:bookmarkEnd w:id="145"/>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và các bộ, ngành liên quan hướng dẫn, tuyên truyền thực hiện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Chủ trì, phối hợp với các cơ quan chức năng kiểm tra, thanh tra, giải quyết khiếu nại tố cáo và xử lý vi phạm hành chính đối với bên mua bảo hiểm vi phạm bảo hiểm bắt buộc trong hoạt động đầu tư xây dựng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6" w:name="dieu_64"/>
      <w:r w:rsidRPr="00F1032B">
        <w:rPr>
          <w:rFonts w:ascii="Times New Roman" w:eastAsia="Times New Roman" w:hAnsi="Times New Roman" w:cs="Times New Roman"/>
          <w:b/>
          <w:bCs/>
          <w:color w:val="000000"/>
          <w:sz w:val="26"/>
          <w:szCs w:val="26"/>
        </w:rPr>
        <w:t>Điều 64. Trách nhiệm của Bộ Giao thông vận tải</w:t>
      </w:r>
      <w:bookmarkEnd w:id="146"/>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Bộ Công an và các bộ, ngành liên quan hướng dẫn, tuyên truyền thực hiện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Phối hợp với Bộ Tài chính trong việc kiểm tra, giám sát các doanh nghiệp bảo hiểm trong việc thực hiện bảo hiểm bắt buộc trách nhiệm dân sự của chủ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7" w:name="dieu_65"/>
      <w:r w:rsidRPr="00F1032B">
        <w:rPr>
          <w:rFonts w:ascii="Times New Roman" w:eastAsia="Times New Roman" w:hAnsi="Times New Roman" w:cs="Times New Roman"/>
          <w:b/>
          <w:bCs/>
          <w:color w:val="000000"/>
          <w:sz w:val="26"/>
          <w:szCs w:val="26"/>
        </w:rPr>
        <w:t>Điều 65. Trách nhiệm của Bộ Y tế</w:t>
      </w:r>
      <w:bookmarkEnd w:id="14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Chỉ đạo, hướng dẫn các cơ sở y tế trung ương và địa phương cung cấp bản sao hồ sơ bệnh án, Giấy chứng nhận thương tích, Giấy báo tử hoặc các văn bản xác nhận liên quan đến việc cấp cứu, chữa trị các nạn nhân bị tai nạn giao thông đường bộ để tạo điều kiện cho doanh nghiệp bảo hiểm nhanh chóng hoàn thiện hồ sơ bồi thường, bảo đảm quyền lợi cho người tham gia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8" w:name="dieu_66"/>
      <w:r w:rsidRPr="00F1032B">
        <w:rPr>
          <w:rFonts w:ascii="Times New Roman" w:eastAsia="Times New Roman" w:hAnsi="Times New Roman" w:cs="Times New Roman"/>
          <w:b/>
          <w:bCs/>
          <w:color w:val="000000"/>
          <w:sz w:val="26"/>
          <w:szCs w:val="26"/>
        </w:rPr>
        <w:t>Điều 66. Trách nhiệm của Bộ Thông tin và Truyền thông</w:t>
      </w:r>
      <w:bookmarkEnd w:id="14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Chỉ đạo các cơ quan thông tin, báo chí trung ương và địa phương thường xuyên tuyên truyền, phổ biến về bảo hiểm bắt buộc.</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49" w:name="dieu_67"/>
      <w:r w:rsidRPr="00F1032B">
        <w:rPr>
          <w:rFonts w:ascii="Times New Roman" w:eastAsia="Times New Roman" w:hAnsi="Times New Roman" w:cs="Times New Roman"/>
          <w:b/>
          <w:bCs/>
          <w:color w:val="000000"/>
          <w:sz w:val="26"/>
          <w:szCs w:val="26"/>
        </w:rPr>
        <w:t>Điều 67. Trách nhiệm của bộ, cơ quan ngang bộ, cơ quan thuộc Chính phủ</w:t>
      </w:r>
      <w:bookmarkEnd w:id="14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và các bộ, ngành liên quan hướng dẫn, tuyên truyền thực hiện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Trong phạm vi nhiệm vụ, quyền hạn của mình có trách nhiệm phối hợp tổ chức kiểm tra, hướng dẫn và thực hiện bảo hiểm bắt buộc theo quy định của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 Phối hợp với Bộ Thông tin và Truyền thông tổ chức tuyên truyền về thực hiện bảo hiểm bắt buộc theo chức năng, nhiệm vụ quản lý nhà nước.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Đài Truyền hình Việt Nam, Đài Tiếng nói việt Nam dành thời lượng phát sóng nhất định để thường xuyên tuyên truyền, phổ biến về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Thực hiện các nhiệm vụ khác thuộc thẩm quyền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0" w:name="dieu_68"/>
      <w:r w:rsidRPr="00F1032B">
        <w:rPr>
          <w:rFonts w:ascii="Times New Roman" w:eastAsia="Times New Roman" w:hAnsi="Times New Roman" w:cs="Times New Roman"/>
          <w:b/>
          <w:bCs/>
          <w:color w:val="000000"/>
          <w:sz w:val="26"/>
          <w:szCs w:val="26"/>
        </w:rPr>
        <w:t>Điều 68. Trách nhiệm của Ủy ban nhân dân tỉnh, thành phố trực thuộc trung ương</w:t>
      </w:r>
      <w:bookmarkEnd w:id="150"/>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Chỉ đạo các cơ quan chức năng, các cấp chính quyền tổ chức thực hiện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Chỉ đạo các cơ quan thông tấn, báo chí địa phương thường xuyên tuyên truyền, phổ biến về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Phối hợp với Bộ Công an trong việc chỉ đạo lực lượng Cảnh sát giao thông và lực lượng Cảnh sát khác có liên quan trên địa bàn tổ chức kiểm tra, xử lý các chủ xe cơ giới không tham gia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Thực hiện các nhiệm vụ khác thuộc thẩm quyền theo quy định của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1" w:name="dieu_69"/>
      <w:r w:rsidRPr="00F1032B">
        <w:rPr>
          <w:rFonts w:ascii="Times New Roman" w:eastAsia="Times New Roman" w:hAnsi="Times New Roman" w:cs="Times New Roman"/>
          <w:b/>
          <w:bCs/>
          <w:color w:val="000000"/>
          <w:sz w:val="26"/>
          <w:szCs w:val="26"/>
        </w:rPr>
        <w:t>Điều 69. Trách nhiệm của Bộ Tư lệnh Bộ đội Biên phòng</w:t>
      </w:r>
      <w:bookmarkEnd w:id="15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và các cơ quan có liên quan trong tổ chức thực hiện Nghị định thư số 5 về Chương trình bảo hiểm bắt buộc xe cơ giới ASEAN.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Chỉ đạo Bộ đội Biên phòng cửa khẩu đường bộ triển khai thực hiện công tác kiểm tra, kiểm soát việc chấp hành thực hiện bảo hiểm bắt buộc trách nhiệm dân sự của chủ xe cơ giới quá cảnh.</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2" w:name="dieu_70"/>
      <w:r w:rsidRPr="00F1032B">
        <w:rPr>
          <w:rFonts w:ascii="Times New Roman" w:eastAsia="Times New Roman" w:hAnsi="Times New Roman" w:cs="Times New Roman"/>
          <w:b/>
          <w:bCs/>
          <w:color w:val="000000"/>
          <w:sz w:val="26"/>
          <w:szCs w:val="26"/>
        </w:rPr>
        <w:t>Điều 70. Trách nhiệm của Ủy ban An toàn Giao thông Quốc gia</w:t>
      </w:r>
      <w:bookmarkEnd w:id="152"/>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Phối hợp với Bộ Tài chính, Bộ Công an và các bộ, ngành liên quan hướng dẫn, tuyên truyền thực hiện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Phối hợp với Quỹ bảo hiểm xe cơ giới trong tổ chức thực hiện các nội dung hoạt động tuyên truyền, giáo dục; đề phòng, hạn chế tổn thất; chi hỗ trợ nhân đạo theo quy định tại Nghị định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3" w:name="dieu_71"/>
      <w:r w:rsidRPr="00F1032B">
        <w:rPr>
          <w:rFonts w:ascii="Times New Roman" w:eastAsia="Times New Roman" w:hAnsi="Times New Roman" w:cs="Times New Roman"/>
          <w:b/>
          <w:bCs/>
          <w:color w:val="000000"/>
          <w:sz w:val="26"/>
          <w:szCs w:val="26"/>
        </w:rPr>
        <w:t>Điều 71. Trách nhiệm của Cơ quan Quốc gia Việt Nam thực hiện Nghị định thư số 5 về Chương trình bảo hiểm bắt buộc xe cơ giới ASEAN</w:t>
      </w:r>
      <w:bookmarkEnd w:id="15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Cơ quan Quốc gia Việt Nam thực hiện Nghị định thư số 5 về Chương trình bảo hiểm bắt buộc xe cơ giới ASEAN là cơ quan thường trực giúp các bộ, ngành liên quan trong việc triển khai thực hiện Nghị định thư số 5 về Chương trình bảo hiểm bắt buộc xe cơ giới ASEAN.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Nghiên cứu, đề xuất với Bộ Tài chính trình cấp có thẩm quyền hoàn thiện quy định về bảo hiểm bắt buộc trách nhiệm dân sự của chủ xe cơ giới, tạo điều kiện thuận lợi cho việc thực hiện Chương trình bảo hiểm bắt buộc xe cơ giới ASEAN.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4" w:name="dieu_72"/>
      <w:r w:rsidRPr="00F1032B">
        <w:rPr>
          <w:rFonts w:ascii="Times New Roman" w:eastAsia="Times New Roman" w:hAnsi="Times New Roman" w:cs="Times New Roman"/>
          <w:b/>
          <w:bCs/>
          <w:color w:val="000000"/>
          <w:sz w:val="26"/>
          <w:szCs w:val="26"/>
        </w:rPr>
        <w:t>Điều 72. Trách nhiệm của Hiệp hội Vận tải ô tô Việt Nam</w:t>
      </w:r>
      <w:bookmarkEnd w:id="15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 Phối hợp với Bộ Tài chính, Bộ Công an và các bộ, ngành liên quan hướng dẫn, tuyên truyền thực hiện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Chỉ đạo, hướng dẫn các hiệp hội cơ sở cấp tỉnh và khu vực phối hợp với Ủy ban nhân dân các tỉnh, thành phố trực thuộc trung ương trong công tác hướng dẫn, tuyên truyền thực hiện bảo hiểm bắt buộc trách nhiệm dân sự của chủ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5" w:name="dieu_73"/>
      <w:r w:rsidRPr="00F1032B">
        <w:rPr>
          <w:rFonts w:ascii="Times New Roman" w:eastAsia="Times New Roman" w:hAnsi="Times New Roman" w:cs="Times New Roman"/>
          <w:b/>
          <w:bCs/>
          <w:color w:val="000000"/>
          <w:sz w:val="26"/>
          <w:szCs w:val="26"/>
        </w:rPr>
        <w:t>Điều 73. Trách nhiệm của Hiệp hội Bảo hiểm Việt Nam</w:t>
      </w:r>
      <w:bookmarkEnd w:id="155"/>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Báo cáo Bộ Tài chính về tỷ lệ đóng góp vào Quỹ bảo hiểm xe cơ giới theo quy định tại </w:t>
      </w:r>
      <w:bookmarkStart w:id="156" w:name="tc_33"/>
      <w:r w:rsidRPr="00F1032B">
        <w:rPr>
          <w:rFonts w:ascii="Times New Roman" w:eastAsia="Times New Roman" w:hAnsi="Times New Roman" w:cs="Times New Roman"/>
          <w:color w:val="0000FF"/>
          <w:sz w:val="26"/>
          <w:szCs w:val="26"/>
        </w:rPr>
        <w:t>khoản 2 Điều 16 Nghị định này</w:t>
      </w:r>
      <w:bookmarkEnd w:id="156"/>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 chức tuyên truyền thực hiện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Công khai thông tin về bảo hiểm bắt buộc trách nhiệm dân sự của chủ xe cơ giới.</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7" w:name="dieu_74"/>
      <w:r w:rsidRPr="00F1032B">
        <w:rPr>
          <w:rFonts w:ascii="Times New Roman" w:eastAsia="Times New Roman" w:hAnsi="Times New Roman" w:cs="Times New Roman"/>
          <w:b/>
          <w:bCs/>
          <w:color w:val="000000"/>
          <w:sz w:val="26"/>
          <w:szCs w:val="26"/>
        </w:rPr>
        <w:t>Điều 74. Trách nhiệm của cơ quan, tổ chức và cá nhân có cơ sở có nguy hiểm về cháy, nổ</w:t>
      </w:r>
      <w:bookmarkEnd w:id="15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Xác định hạng nguy hiểm cháy, nổ A, B, C, D, E của cơ sở sản xuất công nghiệp đối với cơ sở có nguy hiểm về cháy, nổ theo quy định của pháp luật phòng cháy và chữa cháy.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58" w:name="dieu_75"/>
      <w:r w:rsidRPr="00F1032B">
        <w:rPr>
          <w:rFonts w:ascii="Times New Roman" w:eastAsia="Times New Roman" w:hAnsi="Times New Roman" w:cs="Times New Roman"/>
          <w:b/>
          <w:bCs/>
          <w:color w:val="000000"/>
          <w:sz w:val="26"/>
          <w:szCs w:val="26"/>
        </w:rPr>
        <w:t>Điều 75. Trách nhiệm của doanh nghiệp bảo hiểm</w:t>
      </w:r>
      <w:bookmarkEnd w:id="15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Không khuyến mại, chiết khấu thanh toán dưới mọi hình thức đối với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Lập và gửi các báo cáo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Báo cáo nghiệp vụ: Doanh nghiệp bảo hiểm phải lập và gửi Bộ Tài chính, cụ thể như sau:</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Báo cáo về tình hình thực hiện bảo hiểm bắt buộc trách nhiệm dân sự của chủ xe cơ giới (</w:t>
      </w:r>
      <w:bookmarkStart w:id="159" w:name="bieumau_ms_1_pl10"/>
      <w:r w:rsidRPr="00F1032B">
        <w:rPr>
          <w:rFonts w:ascii="Times New Roman" w:eastAsia="Times New Roman" w:hAnsi="Times New Roman" w:cs="Times New Roman"/>
          <w:color w:val="000000"/>
          <w:sz w:val="26"/>
          <w:szCs w:val="26"/>
        </w:rPr>
        <w:t>Mẫu số 1 Phụ lục X</w:t>
      </w:r>
      <w:bookmarkEnd w:id="159"/>
      <w:r w:rsidRPr="00F1032B">
        <w:rPr>
          <w:rFonts w:ascii="Times New Roman" w:eastAsia="Times New Roman" w:hAnsi="Times New Roman" w:cs="Times New Roman"/>
          <w:color w:val="000000"/>
          <w:sz w:val="26"/>
          <w:szCs w:val="26"/>
        </w:rPr>
        <w:t>); Báo cáo doanh thu, bồi thường bảo hiểm cháy, nổ bắt buộc (</w:t>
      </w:r>
      <w:bookmarkStart w:id="160" w:name="bieumau_ms_2_pl10"/>
      <w:r w:rsidRPr="00F1032B">
        <w:rPr>
          <w:rFonts w:ascii="Times New Roman" w:eastAsia="Times New Roman" w:hAnsi="Times New Roman" w:cs="Times New Roman"/>
          <w:color w:val="000000"/>
          <w:sz w:val="26"/>
          <w:szCs w:val="26"/>
        </w:rPr>
        <w:t>Mẫu số 2 Phụ lục X</w:t>
      </w:r>
      <w:bookmarkEnd w:id="160"/>
      <w:r w:rsidRPr="00F1032B">
        <w:rPr>
          <w:rFonts w:ascii="Times New Roman" w:eastAsia="Times New Roman" w:hAnsi="Times New Roman" w:cs="Times New Roman"/>
          <w:color w:val="000000"/>
          <w:sz w:val="26"/>
          <w:szCs w:val="26"/>
        </w:rPr>
        <w:t>); Báo cáo doanh thu, bồi thường bảo hiểm bắt buộc công trình trong hoạt động đầu tư xây dựng (</w:t>
      </w:r>
      <w:bookmarkStart w:id="161" w:name="bieumau_ms_3_pl10"/>
      <w:r w:rsidRPr="00F1032B">
        <w:rPr>
          <w:rFonts w:ascii="Times New Roman" w:eastAsia="Times New Roman" w:hAnsi="Times New Roman" w:cs="Times New Roman"/>
          <w:color w:val="000000"/>
          <w:sz w:val="26"/>
          <w:szCs w:val="26"/>
        </w:rPr>
        <w:t>Mẫu số 3 Phụ lục X</w:t>
      </w:r>
      <w:bookmarkEnd w:id="161"/>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gian chốt số liệu tính từ ngày 01 tháng 01 đến ngày 31 tháng 12 của năm báo cáo.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gian gửi báo cáo chậm nhất là ngày 31 tháng 3 của năm tài chính kế tiếp.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Phương thức gửi báo cáo: Gửi trực tiếp hoặc gửi qua dịch vụ bưu chính hoặc gửi qua hệ thống thư điện tử hoặc gửi qua hệ thống thông tin báo cáo của Bộ Tài chính (khi hệ thống thông tin báo cáo của Bộ Tài chính được vận hành).</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Báo cáo tình hình thu, nộp từ bảo hiểm cháy, nổ bắt buộc (</w:t>
      </w:r>
      <w:bookmarkStart w:id="162" w:name="bieumau_ms_4_pl10"/>
      <w:r w:rsidRPr="00F1032B">
        <w:rPr>
          <w:rFonts w:ascii="Times New Roman" w:eastAsia="Times New Roman" w:hAnsi="Times New Roman" w:cs="Times New Roman"/>
          <w:color w:val="000000"/>
          <w:sz w:val="26"/>
          <w:szCs w:val="26"/>
        </w:rPr>
        <w:t>Mẫu số 4 Phụ lục X</w:t>
      </w:r>
      <w:bookmarkEnd w:id="162"/>
      <w:r w:rsidRPr="00F1032B">
        <w:rPr>
          <w:rFonts w:ascii="Times New Roman" w:eastAsia="Times New Roman" w:hAnsi="Times New Roman" w:cs="Times New Roman"/>
          <w:color w:val="000000"/>
          <w:sz w:val="26"/>
          <w:szCs w:val="26"/>
        </w:rPr>
        <w:t>): Doanh nghiệp bảo hiểm phải lập và gửi Bộ Công an, cụ thể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gian chốt số liệu: Báo cáo 6 tháng đầu năm (tính từ ngày 01 tháng 01 đến ngày 30 tháng 6 của năm báo cáo); báo cáo năm (tính từ ngày 01 tháng 01 đến ngày 31 tháng 12 của năm báo cáo).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gian gửi báo cáo: Báo cáo 6 tháng đầu năm (chậm nhất là ngày 31 tháng 7 hàng năm); báo cáo năm (chậm nhất là ngày 31 tháng 01 của năm tài chính kế tiếp).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Phương thức gửi báo cáo: Gửi trực tiếp hoặc gửi qua dịch vụ bưu chính tới Bộ Công an.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Thiết lập, duy trì hoạt động 24 giờ/7 ngày đường dây nóng để kịp thời tiếp nhận thông tin tai nạn, tổn thất, hướng dẫn, giải đáp cho bên mua bảo hiểm, người được bảo hiểm và các bên có liên quan về các vấn đề liên quan tới bảo hiểm bắt buộc. Thực hiện ghi âm các cuộc gọi đến đường dây nóng để bảo đảm quyền lợi của bên mua bảo hiểm, người được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Tích hợp tính năng tra cứu Giấy chứng nhận bảo hiểm bắt buộc trách nhiệm dân sự của chủ xe cơ giới trên trang thông tin điện tử, cổng thông tin điện tử của doanh nghiệp bảo hiểm, cho phép cơ quan có chức năng thanh tra, kiểm tra, giám sát và bên mua bảo hiểm, người được bảo hiểm tra cứu, xác minh thời hạn và hiệu lực bảo hiểm của Giấy chứng nhận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Giải thích rõ điều kiện bảo hiểm, mức phí bảo hiểm, số tiền bảo hiểm tối thiểu, bảo đảm bên mua bảo hiểm, người được bảo hiểm phân biệt rõ giữa loại hình bảo hiểm bắt buộc với các loại hình bảo hiểm tự nguyện khác.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Tăng cường ứng dụng công nghệ thông tin trong việc giải quyết bồi thường bảo hiểm bắt buộc trách nhiệm dân sự của chủ xe cơ giới đối với mô tô, xe gắn máy.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Phối hợp với bên mua bảo hiểm và các bên có liên quan để thu thập 1 bộ hồ sơ bồi thường bảo hiểm và chịu trách nhiệm trước pháp luật về tính chính xác, đầy đủ, hợp lệ của hồ sơ bồi thường bảo hiểm. Chủ động thu thập các tài liệu quy định trong hồ sơ bồi thường bảo hiểm thuộc trách nhiệm của doanh nghiệp bảo hiểm quy định của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Tạm ứng bồi thường, chi trả bồi thường bảo hiểm bắt buộc nhanh chóng và chính xác theo quy định của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Thanh toán cho cơ quan Công an chi phí sao chụp những hồ sơ, biên bản tai nạn xe cơ giới đã được cung cấp theo quy định pháp luật và có trách nhiệm giữ bí mật trong quá trình điều tra.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Thông báo cho bên mua bảo hiểm, người được bảo hiểm về việc hết thời hạn của hợp đồng bảo hiểm trong vòng 15 ngày trước khi hết thời hạn bảo hiểm.</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Đóng góp Quỹ bảo hiểm xe cơ giới theo quy định tại </w:t>
      </w:r>
      <w:bookmarkStart w:id="163" w:name="tc_34"/>
      <w:r w:rsidRPr="00F1032B">
        <w:rPr>
          <w:rFonts w:ascii="Times New Roman" w:eastAsia="Times New Roman" w:hAnsi="Times New Roman" w:cs="Times New Roman"/>
          <w:color w:val="0000FF"/>
          <w:sz w:val="26"/>
          <w:szCs w:val="26"/>
        </w:rPr>
        <w:t>Điều 16 Nghị định này</w:t>
      </w:r>
      <w:bookmarkEnd w:id="163"/>
      <w:r w:rsidRPr="00F1032B">
        <w:rPr>
          <w:rFonts w:ascii="Times New Roman" w:eastAsia="Times New Roman" w:hAnsi="Times New Roman" w:cs="Times New Roman"/>
          <w:color w:val="000000"/>
          <w:sz w:val="26"/>
          <w:szCs w:val="26"/>
        </w:rPr>
        <w:t>; nộp 1% tổng số phí bảo hiểm cháy, nổ bắt buộc thực tế thu được của các hợp đồng bảo hiểm gốc trong năm tài chính trước liền kề cho hoạt động phòng cháy và chữa cháy theo quy định tại </w:t>
      </w:r>
      <w:bookmarkStart w:id="164" w:name="tc_35"/>
      <w:r w:rsidRPr="00F1032B">
        <w:rPr>
          <w:rFonts w:ascii="Times New Roman" w:eastAsia="Times New Roman" w:hAnsi="Times New Roman" w:cs="Times New Roman"/>
          <w:color w:val="0000FF"/>
          <w:sz w:val="26"/>
          <w:szCs w:val="26"/>
        </w:rPr>
        <w:t>Điều 30 Nghị định này</w:t>
      </w:r>
      <w:bookmarkEnd w:id="164"/>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Hạch toán tách biệt doanh thu phí bảo hiểm, hoa hồng đại lý bảo hiểm, bồi thường bảo hiểm và các khoản chi phí liên quan đến bảo hiểm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Cung cấp, cập nhật thông tin vào cơ sở dữ liệu về bảo hiểm bắt buộc trách nhiệm dân sự của chủ xe cơ giới theo yêu cầu của Hội đồng Quản lý Quỹ bảo hiểm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Các nghĩa vụ khác theo quy định pháp luật.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65" w:name="chuong_6"/>
      <w:r w:rsidRPr="00F1032B">
        <w:rPr>
          <w:rFonts w:ascii="Times New Roman" w:eastAsia="Times New Roman" w:hAnsi="Times New Roman" w:cs="Times New Roman"/>
          <w:b/>
          <w:bCs/>
          <w:color w:val="000000"/>
          <w:sz w:val="26"/>
          <w:szCs w:val="26"/>
        </w:rPr>
        <w:t>Chương VI</w:t>
      </w:r>
      <w:bookmarkEnd w:id="165"/>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66" w:name="chuong_6_name"/>
      <w:r w:rsidRPr="00F1032B">
        <w:rPr>
          <w:rFonts w:ascii="Times New Roman" w:eastAsia="Times New Roman" w:hAnsi="Times New Roman" w:cs="Times New Roman"/>
          <w:b/>
          <w:bCs/>
          <w:color w:val="000000"/>
          <w:sz w:val="26"/>
          <w:szCs w:val="26"/>
        </w:rPr>
        <w:lastRenderedPageBreak/>
        <w:t>ĐIỀU KHOẢN THI HÀNH</w:t>
      </w:r>
      <w:bookmarkEnd w:id="166"/>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67" w:name="dieu_76"/>
      <w:r w:rsidRPr="00F1032B">
        <w:rPr>
          <w:rFonts w:ascii="Times New Roman" w:eastAsia="Times New Roman" w:hAnsi="Times New Roman" w:cs="Times New Roman"/>
          <w:b/>
          <w:bCs/>
          <w:color w:val="000000"/>
          <w:sz w:val="26"/>
          <w:szCs w:val="26"/>
        </w:rPr>
        <w:t>Điều 76. Điều khoản chuyển tiếp</w:t>
      </w:r>
      <w:bookmarkEnd w:id="16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Các hợp đồng bảo hiểm bắt buộc đã giao kết trước ngày Nghị định này có hiệu lực và còn thời gian thực hiện hợp đồng thì tiếp tục thực hiện theo quy định tại Luật Kinh doanh bảo hiểm ngày 16 tháng 6 năm 2022 (đối với các hợp đồng bảo hiểm giao kết từ ngày 01 tháng 01 năm 2023); Nghị định số 03/2021/NĐ-CP ngày 15 tháng 01 năm 2021 của Chính phủ về bảo hiểm bắt buộc trách nhiệm dân sự của chủ xe cơ giới; Nghị định số 23/2018/NĐ-CP ngày 23 tháng 02 năm 2018 của Chính phủ quy định về bảo hiểm cháy, nổ bắt buộc; Nghị định số 97/2021/NĐ-CP ngày 08 tháng 11 năm 2021 của Chính phủ sửa đổi, bổ sung một số điều của Nghị định số 23/2018/NĐ-CP ngày 23 tháng 02 năm 2018 của Chính phủ quy định về bảo hiểm cháy, nổ bắt buộc; Nghị định số 119/2015/NĐ-CP ngày 13 tháng 11 năm 2015 của Chính phủ quy định bảo hiểm bắt buộc trong hoạt động đầu tư xây dựng; Nghị định số 20/2022/NĐ-CP ngày 10 tháng 3 năm 2022 của Chính phủ sửa đổi, bổ sung một số điều của Nghị định số 119/2015/NĐ-CP ngày 13 tháng 11 năm 2015 của Chính phủ quy định bảo hiểm bắt buộc trong hoạt động đầu tư xây dựng, trừ trường hợp các bên tham gia hợp đồng bảo hiểm có thỏa thuận về việc sửa đổi, bổ sung hợp đồng để phù hợp với Nghị định này và để áp dụng quy định của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Cơ chế quản lý, sử dụng Quỹ bảo hiểm xe cơ giới; mức thu, chế độ quản lý, sử dụng nguồn thu từ bảo hiểm cháy, nổ bắt buộc cho hoạt động phòng cháy, chữa cháy thực hiện theo quy định tại Nghị định này từ năm tài chính 2023. Riêng năm tài chính 2023, Hội đồng quản lý Quỹ bảo hiểm xe cơ giới quyết định tỷ lệ đóng góp vào Quỹ bảo hiểm xe cơ giới, doanh nghiệp bảo hiểm đóng góp vào Quỹ bảo hiểm xe cơ giới, nộp kinh phí đóng góp cho hoạt động phòng cháy và chữa cháy từ bảo hiểm cháy, nổ bắt buộc hoàn thành trước ngày 31 tháng 12 năm 2023.</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Đối với các trường hợp đã lựa chọn nhà thầu theo quy định pháp luật về đấu thầu nhưng chưa ký kết hợp đồng bảo hiểm thì các bên tiếp tục thực hiện theo quy định trong hồ sơ mời thầu, hồ sơ yêu cầu đã phát hành.</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68" w:name="dieu_77"/>
      <w:r w:rsidRPr="00F1032B">
        <w:rPr>
          <w:rFonts w:ascii="Times New Roman" w:eastAsia="Times New Roman" w:hAnsi="Times New Roman" w:cs="Times New Roman"/>
          <w:b/>
          <w:bCs/>
          <w:color w:val="000000"/>
          <w:sz w:val="26"/>
          <w:szCs w:val="26"/>
        </w:rPr>
        <w:t>Điều 77. Hiệu lực thi hành</w:t>
      </w:r>
      <w:bookmarkEnd w:id="16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Nghị định này có hiệu lực thi hành kể từ ngày ký ban hành.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Nghị định sau đây hết hiệu lực kể từ ngày Nghị định này có hiệu lực thi hành: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Nghị định số 03/2021 /NĐ-CP ngày 15 tháng 01 năm 2021 của Chính phủ về bảo hiểm bắt buộc trách nhiệm dân sự của chủ xe cơ giới.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Nghị định số 23/2018/NĐ-CP ngày 23 tháng 02 năm 2018 của Chính phủ quy định về bảo hiểm cháy, nổ bắt buộc; Nghị định số 97/2021/NĐ-CP ngày 08 tháng 11 năm 2021 của Chính phủ sửa đổi, bổ sung một số điều của Nghị định số 23/2018/NĐ-CP ngày 23 tháng 02 năm 2018 của Chính phủ quy định về bảo hiểm cháy, nổ bắt buộc.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c) Nghị định số 119/2015/NĐ-CP ngày 13 tháng 11 năm 2015 của Chính phủ quy định bảo hiểm bắt buộc trong hoạt động đầu tư xây dựng; Nghị định số 20/2022/NĐ-CP ngày </w:t>
      </w:r>
      <w:r w:rsidRPr="00F1032B">
        <w:rPr>
          <w:rFonts w:ascii="Times New Roman" w:eastAsia="Times New Roman" w:hAnsi="Times New Roman" w:cs="Times New Roman"/>
          <w:color w:val="000000"/>
          <w:sz w:val="26"/>
          <w:szCs w:val="26"/>
        </w:rPr>
        <w:lastRenderedPageBreak/>
        <w:t>10 tháng 3 năm 2022 của Chính phủ sửa đổi, bổ sung một số điều của Nghị định số 119/2015/NĐ-CP ngày 13 tháng 11 năm 2015 của Chính phủ quy định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Trường hợp các văn bản quy phạm pháp luật được dẫn chiếu để áp dụng tại Nghị định này được sửa đổi, bổ sung, thay thế thì sẽ áp dụng theo các văn bản sửa đổi, bổ sung, thay thế đó.</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69" w:name="dieu_78"/>
      <w:r w:rsidRPr="00F1032B">
        <w:rPr>
          <w:rFonts w:ascii="Times New Roman" w:eastAsia="Times New Roman" w:hAnsi="Times New Roman" w:cs="Times New Roman"/>
          <w:b/>
          <w:bCs/>
          <w:color w:val="000000"/>
          <w:sz w:val="26"/>
          <w:szCs w:val="26"/>
        </w:rPr>
        <w:t>Điều 78. Trách nhiệm thi hành</w:t>
      </w:r>
      <w:bookmarkEnd w:id="16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Bộ trưởng, Thủ trưởng cơ quan ngang bộ, Thủ trưởng cơ quan thuộc Chính phủ, Chủ tịch Ủy ban nhân dân các tỉnh, thành phố trực thuộc trung ương và các đối tượng áp dụng của Nghị định chịu trách nhiệm thi hành Nghị định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5000" w:type="pct"/>
        <w:tblCellSpacing w:w="0" w:type="dxa"/>
        <w:shd w:val="clear" w:color="auto" w:fill="FFFFFF"/>
        <w:tblCellMar>
          <w:left w:w="0" w:type="dxa"/>
          <w:right w:w="0" w:type="dxa"/>
        </w:tblCellMar>
        <w:tblLook w:val="04A0"/>
      </w:tblPr>
      <w:tblGrid>
        <w:gridCol w:w="5177"/>
        <w:gridCol w:w="4399"/>
      </w:tblGrid>
      <w:tr w:rsidR="00F1032B" w:rsidRPr="00F1032B" w:rsidTr="00F1032B">
        <w:trPr>
          <w:tblCellSpacing w:w="0" w:type="dxa"/>
        </w:trPr>
        <w:tc>
          <w:tcPr>
            <w:tcW w:w="478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br/>
              <w:t>Nơi nhận:</w:t>
            </w:r>
            <w:r w:rsidRPr="00F1032B">
              <w:rPr>
                <w:rFonts w:ascii="Times New Roman" w:eastAsia="Times New Roman" w:hAnsi="Times New Roman" w:cs="Times New Roman"/>
                <w:b/>
                <w:bCs/>
                <w:i/>
                <w:iCs/>
                <w:color w:val="000000"/>
                <w:sz w:val="26"/>
                <w:szCs w:val="26"/>
              </w:rPr>
              <w:br/>
            </w:r>
            <w:r w:rsidRPr="00F1032B">
              <w:rPr>
                <w:rFonts w:ascii="Times New Roman" w:eastAsia="Times New Roman" w:hAnsi="Times New Roman" w:cs="Times New Roman"/>
                <w:color w:val="000000"/>
                <w:sz w:val="26"/>
                <w:szCs w:val="26"/>
              </w:rPr>
              <w:t>- Ban Bí thư Trung ương Đảng;</w:t>
            </w:r>
            <w:r w:rsidRPr="00F1032B">
              <w:rPr>
                <w:rFonts w:ascii="Times New Roman" w:eastAsia="Times New Roman" w:hAnsi="Times New Roman" w:cs="Times New Roman"/>
                <w:color w:val="000000"/>
                <w:sz w:val="26"/>
                <w:szCs w:val="26"/>
              </w:rPr>
              <w:br/>
              <w:t>- Thủ tướng, các Phó Thủ tướng Chính phủ;</w:t>
            </w:r>
            <w:r w:rsidRPr="00F1032B">
              <w:rPr>
                <w:rFonts w:ascii="Times New Roman" w:eastAsia="Times New Roman" w:hAnsi="Times New Roman" w:cs="Times New Roman"/>
                <w:color w:val="000000"/>
                <w:sz w:val="26"/>
                <w:szCs w:val="26"/>
              </w:rPr>
              <w:br/>
              <w:t>- Các hộ, cơ quan ngang bộ, cơ quan thuộc Chính phủ;</w:t>
            </w:r>
            <w:r w:rsidRPr="00F1032B">
              <w:rPr>
                <w:rFonts w:ascii="Times New Roman" w:eastAsia="Times New Roman" w:hAnsi="Times New Roman" w:cs="Times New Roman"/>
                <w:color w:val="000000"/>
                <w:sz w:val="26"/>
                <w:szCs w:val="26"/>
              </w:rPr>
              <w:br/>
              <w:t>- HĐND, UBND các tỉnh, thành phố trực thuộc trung ương;</w:t>
            </w:r>
            <w:r w:rsidRPr="00F1032B">
              <w:rPr>
                <w:rFonts w:ascii="Times New Roman" w:eastAsia="Times New Roman" w:hAnsi="Times New Roman" w:cs="Times New Roman"/>
                <w:color w:val="000000"/>
                <w:sz w:val="26"/>
                <w:szCs w:val="26"/>
              </w:rPr>
              <w:br/>
              <w:t>- Văn phòng Trung ương và các Ban của Đảng;</w:t>
            </w:r>
            <w:r w:rsidRPr="00F1032B">
              <w:rPr>
                <w:rFonts w:ascii="Times New Roman" w:eastAsia="Times New Roman" w:hAnsi="Times New Roman" w:cs="Times New Roman"/>
                <w:color w:val="000000"/>
                <w:sz w:val="26"/>
                <w:szCs w:val="26"/>
              </w:rPr>
              <w:br/>
              <w:t>- Văn phòng Tổng Bí thư;</w:t>
            </w:r>
            <w:r w:rsidRPr="00F1032B">
              <w:rPr>
                <w:rFonts w:ascii="Times New Roman" w:eastAsia="Times New Roman" w:hAnsi="Times New Roman" w:cs="Times New Roman"/>
                <w:color w:val="000000"/>
                <w:sz w:val="26"/>
                <w:szCs w:val="26"/>
              </w:rPr>
              <w:br/>
              <w:t>- Văn phòng Chủ tịch nước;</w:t>
            </w:r>
            <w:r w:rsidRPr="00F1032B">
              <w:rPr>
                <w:rFonts w:ascii="Times New Roman" w:eastAsia="Times New Roman" w:hAnsi="Times New Roman" w:cs="Times New Roman"/>
                <w:color w:val="000000"/>
                <w:sz w:val="26"/>
                <w:szCs w:val="26"/>
              </w:rPr>
              <w:br/>
              <w:t>- Hội đồng dân tộc và các Ủy ban của Quốc hội;</w:t>
            </w:r>
            <w:r w:rsidRPr="00F1032B">
              <w:rPr>
                <w:rFonts w:ascii="Times New Roman" w:eastAsia="Times New Roman" w:hAnsi="Times New Roman" w:cs="Times New Roman"/>
                <w:color w:val="000000"/>
                <w:sz w:val="26"/>
                <w:szCs w:val="26"/>
              </w:rPr>
              <w:br/>
              <w:t>- Văn phòng Quốc hội;</w:t>
            </w:r>
            <w:r w:rsidRPr="00F1032B">
              <w:rPr>
                <w:rFonts w:ascii="Times New Roman" w:eastAsia="Times New Roman" w:hAnsi="Times New Roman" w:cs="Times New Roman"/>
                <w:color w:val="000000"/>
                <w:sz w:val="26"/>
                <w:szCs w:val="26"/>
              </w:rPr>
              <w:br/>
              <w:t>- Tòa án nhân dân tối cao;</w:t>
            </w:r>
            <w:r w:rsidRPr="00F1032B">
              <w:rPr>
                <w:rFonts w:ascii="Times New Roman" w:eastAsia="Times New Roman" w:hAnsi="Times New Roman" w:cs="Times New Roman"/>
                <w:color w:val="000000"/>
                <w:sz w:val="26"/>
                <w:szCs w:val="26"/>
              </w:rPr>
              <w:br/>
              <w:t>- Viện kiểm sát nhân dân tối cao;</w:t>
            </w:r>
            <w:r w:rsidRPr="00F1032B">
              <w:rPr>
                <w:rFonts w:ascii="Times New Roman" w:eastAsia="Times New Roman" w:hAnsi="Times New Roman" w:cs="Times New Roman"/>
                <w:color w:val="000000"/>
                <w:sz w:val="26"/>
                <w:szCs w:val="26"/>
              </w:rPr>
              <w:br/>
              <w:t>- Kiểm toán nhà nước;</w:t>
            </w:r>
            <w:r w:rsidRPr="00F1032B">
              <w:rPr>
                <w:rFonts w:ascii="Times New Roman" w:eastAsia="Times New Roman" w:hAnsi="Times New Roman" w:cs="Times New Roman"/>
                <w:color w:val="000000"/>
                <w:sz w:val="26"/>
                <w:szCs w:val="26"/>
              </w:rPr>
              <w:br/>
              <w:t>- Ủy ban Giám sát tài chính Quốc gia;</w:t>
            </w:r>
            <w:r w:rsidRPr="00F1032B">
              <w:rPr>
                <w:rFonts w:ascii="Times New Roman" w:eastAsia="Times New Roman" w:hAnsi="Times New Roman" w:cs="Times New Roman"/>
                <w:color w:val="000000"/>
                <w:sz w:val="26"/>
                <w:szCs w:val="26"/>
              </w:rPr>
              <w:br/>
              <w:t>- Ngân hàng Chính sách xã hội;</w:t>
            </w:r>
            <w:r w:rsidRPr="00F1032B">
              <w:rPr>
                <w:rFonts w:ascii="Times New Roman" w:eastAsia="Times New Roman" w:hAnsi="Times New Roman" w:cs="Times New Roman"/>
                <w:color w:val="000000"/>
                <w:sz w:val="26"/>
                <w:szCs w:val="26"/>
              </w:rPr>
              <w:br/>
              <w:t>- Ngân hàng Phát triển Việt Nam;</w:t>
            </w:r>
            <w:r w:rsidRPr="00F1032B">
              <w:rPr>
                <w:rFonts w:ascii="Times New Roman" w:eastAsia="Times New Roman" w:hAnsi="Times New Roman" w:cs="Times New Roman"/>
                <w:color w:val="000000"/>
                <w:sz w:val="26"/>
                <w:szCs w:val="26"/>
              </w:rPr>
              <w:br/>
              <w:t>- Ủy ban trung ương Mặt trận Tổ quốc Việt Nam;</w:t>
            </w:r>
            <w:r w:rsidRPr="00F1032B">
              <w:rPr>
                <w:rFonts w:ascii="Times New Roman" w:eastAsia="Times New Roman" w:hAnsi="Times New Roman" w:cs="Times New Roman"/>
                <w:color w:val="000000"/>
                <w:sz w:val="26"/>
                <w:szCs w:val="26"/>
              </w:rPr>
              <w:br/>
              <w:t>- Cơ quan trung ương của các đoàn thể;</w:t>
            </w:r>
            <w:r w:rsidRPr="00F1032B">
              <w:rPr>
                <w:rFonts w:ascii="Times New Roman" w:eastAsia="Times New Roman" w:hAnsi="Times New Roman" w:cs="Times New Roman"/>
                <w:color w:val="000000"/>
                <w:sz w:val="26"/>
                <w:szCs w:val="26"/>
              </w:rPr>
              <w:br/>
              <w:t>- VPCP: BTCN, các PCN, Trợ lý TTg, TGĐ Cổng TTĐT, các Vụ, Cục, đơn vị trực thuộc, Công báo;</w:t>
            </w:r>
            <w:r w:rsidRPr="00F1032B">
              <w:rPr>
                <w:rFonts w:ascii="Times New Roman" w:eastAsia="Times New Roman" w:hAnsi="Times New Roman" w:cs="Times New Roman"/>
                <w:color w:val="000000"/>
                <w:sz w:val="26"/>
                <w:szCs w:val="26"/>
              </w:rPr>
              <w:br/>
              <w:t>- Lưu: VT, KTTH.</w:t>
            </w:r>
          </w:p>
        </w:tc>
        <w:tc>
          <w:tcPr>
            <w:tcW w:w="406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TM. CHÍNH PHỦ</w:t>
            </w:r>
            <w:r w:rsidRPr="00F1032B">
              <w:rPr>
                <w:rFonts w:ascii="Times New Roman" w:eastAsia="Times New Roman" w:hAnsi="Times New Roman" w:cs="Times New Roman"/>
                <w:b/>
                <w:bCs/>
                <w:color w:val="000000"/>
                <w:sz w:val="26"/>
                <w:szCs w:val="26"/>
              </w:rPr>
              <w:br/>
              <w:t>KT. THỦ TƯỚNG</w:t>
            </w:r>
            <w:r w:rsidRPr="00F1032B">
              <w:rPr>
                <w:rFonts w:ascii="Times New Roman" w:eastAsia="Times New Roman" w:hAnsi="Times New Roman" w:cs="Times New Roman"/>
                <w:b/>
                <w:bCs/>
                <w:color w:val="000000"/>
                <w:sz w:val="26"/>
                <w:szCs w:val="26"/>
              </w:rPr>
              <w:br/>
              <w:t>PHÓ THỦ TƯỚNG</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b/>
                <w:bCs/>
                <w:color w:val="000000"/>
                <w:sz w:val="26"/>
                <w:szCs w:val="26"/>
              </w:rPr>
              <w:br/>
              <w:t>Lê Minh Khái</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70" w:name="chuong_pl_1"/>
      <w:r w:rsidRPr="00F1032B">
        <w:rPr>
          <w:rFonts w:ascii="Times New Roman" w:eastAsia="Times New Roman" w:hAnsi="Times New Roman" w:cs="Times New Roman"/>
          <w:b/>
          <w:bCs/>
          <w:color w:val="000000"/>
          <w:sz w:val="26"/>
          <w:szCs w:val="26"/>
        </w:rPr>
        <w:lastRenderedPageBreak/>
        <w:t>PHỤ LỤC I</w:t>
      </w:r>
      <w:bookmarkEnd w:id="170"/>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71" w:name="chuong_pl_1_name"/>
      <w:r w:rsidRPr="00F1032B">
        <w:rPr>
          <w:rFonts w:ascii="Times New Roman" w:eastAsia="Times New Roman" w:hAnsi="Times New Roman" w:cs="Times New Roman"/>
          <w:color w:val="000000"/>
          <w:sz w:val="26"/>
          <w:szCs w:val="26"/>
        </w:rPr>
        <w:t>MỨC PHÍ BẢO HIỂM BẮT BUỘC TRÁCH NHIỆM DÂN SỰ CỦA CHỦ XE CƠ GIỚI</w:t>
      </w:r>
      <w:bookmarkEnd w:id="171"/>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72" w:name="chuong_1_1"/>
      <w:r w:rsidRPr="00F1032B">
        <w:rPr>
          <w:rFonts w:ascii="Times New Roman" w:eastAsia="Times New Roman" w:hAnsi="Times New Roman" w:cs="Times New Roman"/>
          <w:b/>
          <w:bCs/>
          <w:color w:val="000000"/>
          <w:sz w:val="26"/>
          <w:szCs w:val="26"/>
        </w:rPr>
        <w:t>A. Phí bảo hiểm cho thời hạn bảo hiểm 1 năm </w:t>
      </w:r>
      <w:r w:rsidRPr="00F1032B">
        <w:rPr>
          <w:rFonts w:ascii="Times New Roman" w:eastAsia="Times New Roman" w:hAnsi="Times New Roman" w:cs="Times New Roman"/>
          <w:b/>
          <w:bCs/>
          <w:i/>
          <w:iCs/>
          <w:color w:val="000000"/>
          <w:sz w:val="26"/>
          <w:szCs w:val="26"/>
        </w:rPr>
        <w:t>(chưa bao gồm thuế giá trị gia tăng)</w:t>
      </w:r>
      <w:bookmarkEnd w:id="172"/>
    </w:p>
    <w:tbl>
      <w:tblPr>
        <w:tblW w:w="5000" w:type="pct"/>
        <w:tblCellSpacing w:w="0" w:type="dxa"/>
        <w:shd w:val="clear" w:color="auto" w:fill="FFFFFF"/>
        <w:tblCellMar>
          <w:left w:w="0" w:type="dxa"/>
          <w:right w:w="0" w:type="dxa"/>
        </w:tblCellMar>
        <w:tblLook w:val="04A0"/>
      </w:tblPr>
      <w:tblGrid>
        <w:gridCol w:w="665"/>
        <w:gridCol w:w="5317"/>
        <w:gridCol w:w="3418"/>
      </w:tblGrid>
      <w:tr w:rsidR="00F1032B" w:rsidRPr="00F1032B" w:rsidTr="00F1032B">
        <w:trPr>
          <w:tblCellSpacing w:w="0" w:type="dxa"/>
        </w:trPr>
        <w:tc>
          <w:tcPr>
            <w:tcW w:w="35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TT</w:t>
            </w:r>
          </w:p>
        </w:tc>
        <w:tc>
          <w:tcPr>
            <w:tcW w:w="28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Loại xe</w:t>
            </w:r>
          </w:p>
        </w:tc>
        <w:tc>
          <w:tcPr>
            <w:tcW w:w="18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(đồng)</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Mô tô 2 bánh</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50 cc</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50 cc trở lên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Mô tô 3 bánh</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III</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gắn máy (bao gồm xe máy điện) và các loại xe cơ giới tương tự</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Xe máy điện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loại xe còn lại</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IV</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không kinh doanh vận tải</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xe dưới 6 chỗ</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437.000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xe từ 6 đến 11 chỗ</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794.000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xe từ 12 đến 24 chỗ</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xe trên 24 chỗ</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1.825.000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Xe vừa chở người vừa chở hàng (Pickup, minivan)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437.000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kinh doanh vận tải</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6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756.000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929.000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1.080.000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1.253.000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1.404.000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1.512.000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1.656.000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1.822.000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2.049.000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2.221.000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2.394.000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3.054.000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2.718.000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2.869.000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3.041.000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3.191.000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3.364.000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3.515.000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3.688.000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4.632.000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chỗ theo đăng ký</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4.813.000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25 chỗ</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[4.813.000 + 30.000 x (số chỗ - 25 chỗ)]</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Xe vừa chở người vừa chở hàng (Pickup, minivan)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933.000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w:t>
            </w:r>
          </w:p>
        </w:tc>
        <w:tc>
          <w:tcPr>
            <w:tcW w:w="28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chở hàng (xe tải)</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3 tấn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853.000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3 đến 8 tấn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1.660.000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8 đến 15 tấn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2.746.000</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c>
          <w:tcPr>
            <w:tcW w:w="2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15 tấn</w:t>
            </w:r>
          </w:p>
        </w:tc>
        <w:tc>
          <w:tcPr>
            <w:tcW w:w="1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3.200.000</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VII. Phí bảo hiểm trong một số trường hợp khác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Xe tập lái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bằng 120% của phí bảo hiểm của xe cùng chủng loại quy định mục IV và mục VI.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Xe Taxi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bằng 170% của phí bảo hiểm của xe kinh doanh cùng số chỗ quy định tại mục V.</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Xe ô tô chuyên dùng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Phí bảo hiểm của xe cứu thương được tính bằng 120% phí bảo hiểm của xe vừa chở người vừa chở hàng (pickup, minivan) quy định tại mục V.</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Phí bảo hiểm của xe chở tiền được tính bằng 120% phí bảo hiểm của xe dưới 6 chỗ quy định tại mục IV.</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Phí bảo hiểm của các loại xe ô tô chuyên dùng khác có quy định trọng tải thiết kế được tính bằng 120% phí bảo hiểm của xe chở hàng cùng trọng tải quy định tại mục VI; trường hợp xe không quy định trọng tải thiết kế, phí bảo hiểm bằng 120% phí bảo hiểm của xe chở hàng có trọng tải dưới 3 tấn quy định tại mục VI.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Đầu kéo rơ-moóc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bằng 150% của phí bảo hiểm của xe chở hàng có trọng tải trên 15 tấn quy định tại mục VI. Phí bảo hiểm của xe đầu kéo rơ-moóc là phí của cả đầu kéo và rơ moóc.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Máy kéo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bằng 120% phí bảo hiểm của xe chở hàng có trọng tải dưới 3 tấn quy định tại mục VI. Phí bảo hiểm của máy kéo là phí bảo hiểm của cả máy kéo và rơ moóc.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Xe buýt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bằng phí bảo hiểm của xe không kinh doanh vận tải cùng số chỗ quy định tại mục IV.</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73" w:name="chuong_2_1"/>
      <w:r w:rsidRPr="00F1032B">
        <w:rPr>
          <w:rFonts w:ascii="Times New Roman" w:eastAsia="Times New Roman" w:hAnsi="Times New Roman" w:cs="Times New Roman"/>
          <w:b/>
          <w:bCs/>
          <w:color w:val="000000"/>
          <w:sz w:val="26"/>
          <w:szCs w:val="26"/>
        </w:rPr>
        <w:t>B. Phí bảo hiểm cho thời hạn bảo hiểm khác 1 năm (chưa bao gồm thuế giá trị gia tăng)</w:t>
      </w:r>
      <w:bookmarkEnd w:id="173"/>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Đối với các xe cơ giới mua bảo hiểm có thời hạn khác 1 năm, phí bảo hiểm được tính dựa trên phí bảo hiểm do Bộ Tài chính quy định và tương ứng với thời hạn bảo hiểm. Cách tính cụ thể như sau:</w:t>
      </w:r>
    </w:p>
    <w:tbl>
      <w:tblPr>
        <w:tblW w:w="5000" w:type="pct"/>
        <w:tblCellSpacing w:w="0" w:type="dxa"/>
        <w:shd w:val="clear" w:color="auto" w:fill="FFFFFF"/>
        <w:tblCellMar>
          <w:left w:w="0" w:type="dxa"/>
          <w:right w:w="0" w:type="dxa"/>
        </w:tblCellMar>
        <w:tblLook w:val="04A0"/>
      </w:tblPr>
      <w:tblGrid>
        <w:gridCol w:w="1815"/>
        <w:gridCol w:w="287"/>
        <w:gridCol w:w="4872"/>
        <w:gridCol w:w="477"/>
        <w:gridCol w:w="1909"/>
      </w:tblGrid>
      <w:tr w:rsidR="00F1032B" w:rsidRPr="00F1032B" w:rsidTr="00F1032B">
        <w:trPr>
          <w:tblCellSpacing w:w="0" w:type="dxa"/>
        </w:trPr>
        <w:tc>
          <w:tcPr>
            <w:tcW w:w="9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Phí bảo hiểm phải nộp</w:t>
            </w:r>
          </w:p>
        </w:tc>
        <w:tc>
          <w:tcPr>
            <w:tcW w:w="1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2550" w:type="pct"/>
            <w:tcBorders>
              <w:top w:val="nil"/>
              <w:left w:val="nil"/>
              <w:bottom w:val="single" w:sz="8" w:space="0" w:color="auto"/>
              <w:right w:val="nil"/>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Phí bảo hiểm năm theo loại xe cơ giới</w:t>
            </w:r>
          </w:p>
        </w:tc>
        <w:tc>
          <w:tcPr>
            <w:tcW w:w="2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w:t>
            </w:r>
          </w:p>
        </w:tc>
        <w:tc>
          <w:tcPr>
            <w:tcW w:w="100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Thời hạn được bảo hiểm (ngày)</w:t>
            </w:r>
          </w:p>
        </w:tc>
      </w:tr>
      <w:tr w:rsidR="00F1032B" w:rsidRPr="00F1032B" w:rsidTr="00F1032B">
        <w:trPr>
          <w:tblCellSpacing w:w="0" w:type="dxa"/>
        </w:trPr>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2550" w:type="pc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365 (ngày)</w:t>
            </w: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Trường hợp thời hạn bảo hiểm từ 30 ngày trở xuống, phí bảo hiểm phải nộp được tính bằng phí bảo hiểm năm theo loại xe cơ giới/(chia) cho 12 tháng.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74" w:name="chuong_pl_2"/>
      <w:r w:rsidRPr="00F1032B">
        <w:rPr>
          <w:rFonts w:ascii="Times New Roman" w:eastAsia="Times New Roman" w:hAnsi="Times New Roman" w:cs="Times New Roman"/>
          <w:b/>
          <w:bCs/>
          <w:color w:val="000000"/>
          <w:sz w:val="26"/>
          <w:szCs w:val="26"/>
        </w:rPr>
        <w:t>PHỤ LỤC II</w:t>
      </w:r>
      <w:bookmarkEnd w:id="174"/>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75" w:name="chuong_pl_2_name"/>
      <w:r w:rsidRPr="00F1032B">
        <w:rPr>
          <w:rFonts w:ascii="Times New Roman" w:eastAsia="Times New Roman" w:hAnsi="Times New Roman" w:cs="Times New Roman"/>
          <w:color w:val="000000"/>
          <w:sz w:val="26"/>
          <w:szCs w:val="26"/>
        </w:rPr>
        <w:t>MỨC PHÍ BẢO HIỂM VÀ MỨC KHẤU TRỪ BẢO HIỂM CHÁY, NỔ BẮT BUỘC</w:t>
      </w:r>
      <w:bookmarkEnd w:id="175"/>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76" w:name="chuong_1_2"/>
      <w:r w:rsidRPr="00F1032B">
        <w:rPr>
          <w:rFonts w:ascii="Times New Roman" w:eastAsia="Times New Roman" w:hAnsi="Times New Roman" w:cs="Times New Roman"/>
          <w:b/>
          <w:bCs/>
          <w:color w:val="000000"/>
          <w:sz w:val="26"/>
          <w:szCs w:val="26"/>
        </w:rPr>
        <w:t>I. MỨC PHÍ BẢO HIỂM (CHƯA BAO GỒM THUẾ GTGT)</w:t>
      </w:r>
      <w:bookmarkEnd w:id="176"/>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cơ sở có nguy hiểm về cháy, nổ (trừ cơ sở hạt nhân) quy định tại Phụ lục II ban hành kèm theo Nghị định số 136/2020/NĐ-CP ngày 24 tháng 11 năm 2020 của Chính phủ quy định chi tiết thi hành một số điều của Luật Phòng cháy và chữa cháy và Luật sửa đổi, bổ sung một số điều của Luật Phòng cháy và chữa cháy và văn bản sửa đổi, bổ sung, thay thế (nếu có) có tổng số tiền bảo hiểm của các tài sản tại một địa điểm dưới 1.000 tỷ đồng, mức phí bảo hiểm được xác định bằng số tiền bảo hiểm tối thiểu nhân (x) tỷ lệ phí bảo hiểm. Căn cứ vào mức độ rủi ro của từng cơ sở có nguy hiểm về cháy, nổ, doanh nghiệp bảo hiểm và bên mua bảo hiểm thỏa thuận tỷ lệ phí bảo hiểm không thấp hơn tỷ lệ phí bảo hiểm sau:</w:t>
      </w:r>
    </w:p>
    <w:tbl>
      <w:tblPr>
        <w:tblW w:w="5000" w:type="pct"/>
        <w:tblCellSpacing w:w="0" w:type="dxa"/>
        <w:shd w:val="clear" w:color="auto" w:fill="FFFFFF"/>
        <w:tblCellMar>
          <w:left w:w="0" w:type="dxa"/>
          <w:right w:w="0" w:type="dxa"/>
        </w:tblCellMar>
        <w:tblLook w:val="04A0"/>
      </w:tblPr>
      <w:tblGrid>
        <w:gridCol w:w="672"/>
        <w:gridCol w:w="6427"/>
        <w:gridCol w:w="863"/>
        <w:gridCol w:w="1438"/>
      </w:tblGrid>
      <w:tr w:rsidR="00F1032B" w:rsidRPr="00F1032B" w:rsidTr="00F1032B">
        <w:trPr>
          <w:tblCellSpacing w:w="0" w:type="dxa"/>
        </w:trPr>
        <w:tc>
          <w:tcPr>
            <w:tcW w:w="35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33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Danh mục cơ sở có nguy hiểm về cháy, nổ</w:t>
            </w:r>
          </w:p>
        </w:tc>
        <w:tc>
          <w:tcPr>
            <w:tcW w:w="4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(loại)</w:t>
            </w:r>
          </w:p>
        </w:tc>
        <w:tc>
          <w:tcPr>
            <w:tcW w:w="7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Tỷ lệ phí bảo hiểm/ năm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Trụ sở cơ quan nhà nước các cấp cao từ 10 tầng trở lên hoặc có tổng khối tích của các khối nhà làm việc từ 25.000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chung cư, nhà tập thể, nhà ở ký túc xá cao từ 7 tầng trở lên hoặc có tổng khối tích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nhà hỗn hợp cao từ 5 tầng trở lên hoặc có tổng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chung cư, nhà tập thể, nhà ở ký túc xá, nhà hỗn hợp có hệ thống chữa cháy tự động (sprinkler)</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chung cư, nhà tập thể, nhà ở ký túc xá, nhà hỗn hợp không có hệ thống chữa cháy tự động (sprinkler)</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trẻ, trường mẫu giáo, mầm non có từ 350 cháu trở lên hoặc có tổng khối tích các khối nhà học tập, phục vụ học lập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xml:space="preserve"> trở lên; trường tiểu học, trung học cơ sở, trung học phổ thông, trường phổ thông có nhiều cấp học có tổng khối tích các khối nhà học tập, phục vụ học tập từ 5.000 </w:t>
            </w:r>
            <w:r w:rsidRPr="00F1032B">
              <w:rPr>
                <w:rFonts w:ascii="Times New Roman" w:eastAsia="Times New Roman" w:hAnsi="Times New Roman" w:cs="Times New Roman"/>
                <w:color w:val="000000"/>
                <w:sz w:val="26"/>
                <w:szCs w:val="26"/>
              </w:rPr>
              <w:lastRenderedPageBreak/>
              <w:t>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trường cao đẳng, đại học, học viện, trường trung cấp chuyên nghiệp, trường dạy nghề, cơ sở giáo dục thường xuyên cao từ 7 tầng trở lên hoặc có tổng khối tích các khối nhà học tập, phục vụ học tập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cơ sở giáo dục khác được thành lập theo Luật Giáo dục có tổng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Bệnh viện có từ 250 giường bệnh trở lên; phòng khám đa khoa, khám chuyên khoa, nhà điều dưỡng, phục hồi chức năng, chỉnh hình, nhà dưỡng lão, cơ sở phòng chống dịch bệnh, trung tâm y tế, cơ sở y tế khác được thành lập theo Luật Khám bệnh, chữa bệnh cao từ 5 tầng trở lên hoặc có tổng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hát, rạp chiếu phim, rạp xiếc có từ 600 chỗ ngồi trở lên; trung tâm hội nghị, tổ chức sự kiện cao từ 5 tầng trở lên hoặc có tổng khối tích của các nhà tổ chức hội nghị, sự kiện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nhà văn hóa, cơ sở kinh doanh dịch vụ karaoke, vũ trường, quán bar, câu lạc bộ, thẩm mỹ viện, kinh doanh dịch vụ xoa bóp, công viên giải trí, vườn thú, thủy cung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kinh doanh dịch vụ karaoke, vũ trường, quán bar</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0,4</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hát, rạp chiếu phim, rạp xiếc; trung tâm hội nghị, tổ chức sự kiện; nhà văn hóa, câu lạc bộ, thẩm mỹ viện, kinh doanh dịch vụ xoa bóp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viên giải trí, vườn thú, thủy cung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Chợ hạng 1, chợ hạng 2; trung tâm thương mại, điện máy, siêu thị, cửa hàng bách hoá, cửa hàng tiện ích, nhà hàng, cửa hàng ăn uống có tổng diện tích kinh doanh từ 500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 hoặc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Trung tâm thương mại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0,06</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Siêu thị, cửa hàng bách hóa, điện máy, cửa hàng tiện ích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0,08</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hàng, cửa hàng ăn uống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Chợ</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Khách sạn, nhà khách, nhà nghỉ, nhà trọ, cơ sở lưu trú khác </w:t>
            </w:r>
            <w:r w:rsidRPr="00F1032B">
              <w:rPr>
                <w:rFonts w:ascii="Times New Roman" w:eastAsia="Times New Roman" w:hAnsi="Times New Roman" w:cs="Times New Roman"/>
                <w:color w:val="000000"/>
                <w:sz w:val="26"/>
                <w:szCs w:val="26"/>
              </w:rPr>
              <w:lastRenderedPageBreak/>
              <w:t>được thành lập theo Luật Du lịch cao từ 7 tầng trở lên hoặc có tổng khối tích của các khối nhà phục vụ lưu trú từ 10.000 m</w:t>
            </w:r>
            <w:r w:rsidRPr="00F1032B">
              <w:rPr>
                <w:rFonts w:ascii="Times New Roman" w:eastAsia="Times New Roman" w:hAnsi="Times New Roman" w:cs="Times New Roman"/>
                <w:color w:val="000000"/>
                <w:sz w:val="26"/>
                <w:szCs w:val="26"/>
                <w:vertAlign w:val="superscript"/>
              </w:rPr>
              <w:t>3 </w:t>
            </w:r>
            <w:r w:rsidRPr="00F1032B">
              <w:rPr>
                <w:rFonts w:ascii="Times New Roman" w:eastAsia="Times New Roman" w:hAnsi="Times New Roman" w:cs="Times New Roman"/>
                <w:color w:val="000000"/>
                <w:sz w:val="26"/>
                <w:szCs w:val="26"/>
              </w:rPr>
              <w:t>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7.1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Khách sạn, nhà khách, nhà nghỉ, nhà trọ, cơ sở lưu trú khác được thành lập theo Luật Du lịch có hệ thống chữa cháy tự động (sprinkler)</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Khách sạn, nhà khách, nhà nghỉ, nhà trọ, cơ sở lưu trú khác được thành lập theo Luật Du lịch không có hệ thống chữa cháy tự động (sprinkler)</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làm việc của doanh nghiệp, tổ chức chính trị, xã hội cao từ 7 tầng trở lên hoặc có tổng khối tích của các khối nhà làm việc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Bảo tàng, thư viện, triển lãm, nhà trưng bày, nhà lưu trữ, nhà sách, nhà hội chợ có khối tích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Bảo tàng, thư viện, nhà trưng bày, nhà lưu trữ</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0,075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Triển lãm, nhà sách, nhà hội chợ</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Bưu điện, cơ sở truyền thanh, truyền hình, viễn thông cao từ 5 tầng trở lên hoặc có khối tích của khối nhà chính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nhà lắp đặt thiết bị thông tin, trung tâm lưu trữ, quản lý dữ liệu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0,075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Sân vận động có sức chứa từ 40.000 chỗ ngồi trở lên; nhà thi đấu thể thao; cung thể thao trong nhà có sức chứa từ 500 chỗ ngồi trở lên; trung tâm thể dục thể thao, trường đua, trường bắn có tổng khối tích của các nhà thể thao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hoặc có sức chứa từ 5.000 chỗ trở lên; cơ sở thể thao khác được thành lập theo Luật Thể dục, thể thao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0,06</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hàng không; đài kiểm soát không lưu; bến cảng biển; cảng cạn; cảng thủy nội địa loại I, loại II; bến xe khách loại 1, loại 2; trạm dừng nghỉ loại 1; nhà ga đường sắt, nhà chờ cáp treo vận chuyển người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công trình tàu điện ngầm; cơ sở đăng kiểm phương tiện giao thông cơ giới; cửa hàng kinh doanh, sửa chữa, bảo dưỡng ô tô, mô tô, xe gắn máy có diện tích kinh doanh từ 500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 hoặc có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Bến cảng biển; cảng cạn; cảng thủy nội địa; bến xe khách; trạm dừng nghỉ; nhà chờ cáp treo vận chuyển người; cơ sở đăng kiểm phương tiện giao thông cơ giới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ga đường sắt; công trình tàu điện ngầm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hàng không; đài kiểm soát không lưu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0,08</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Cửa hàng kinh doanh, sửa chữa, bảo dưỡng ô tô, mô tô, xe gắn máy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Gara để xe có sức chứa từ 10 xe ô tô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kinh doanh, bảo quản, sử dụng vật liệu nổ công nghiệp và tiền chất thuốc nổ; kho vật liệu nổ công nghiệp, tiền chất thuốc nổ; cảng xuất, nhập vật liệu nổ công nghiệp, tiền chất thuốc nổ; kho vũ khí, công cụ hỗ trợ</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khai thác, chế biến, sản xuất, vận chuyển, kinh doanh, bảo quản dầu mỏ và sản phẩm dầu mỏ, khí đốt trên đất liền; kho dầu mỏ và sản phẩm dầu mỏ, kho khí đốt; cảng xuất, nhập dầu mỏ và sản phẩm dầu mỏ, khí đốt; cửa hàng kinh doanh xăng dầu; cửa hàng kinh doanh chất lỏng dễ cháy, cửa hàng kinh doanh khí đốt có tổng lượng khí tồn chứa từ 200 kg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khai thác, chế biến, sản xuất, vận chuyển, kinh doanh, bảo quản dầu mỏ và sản phẩm dầu mỏ, khí đốt trên đất liền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0,35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dầu mỏ và sản phẩm dầu mỏ, kho khí đốt; cảng xuất, nhập dầu mỏ và sản phẩm dầu mỏ, khí đốt; cửa hàng kinh doanh xăng dầu; cửa hàng kinh doanh chất lỏng dễ cháy, cửa hàng kinh doanh khí đốt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0,3</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công nghiệp có hạng nguy hiểm cháy, nổ A, B có tổng khối tích của các khối nhà có dây chuyền công nghệ sản xuất chính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hạng nguy hiểm cháy, nổ C có tổng khối tích của các khối nhà có dây chuyền công nghệ sản xuất chính từ 10.000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 hạng nguy hiểm cháy, nổ D, E có tổng khối tích của các khối nhà có dây chuyền công nghệ sản xuất chính từ 15.000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a) Cơ sở sản xuất công nghiệp có hạng nguy hiểm cháy nổ A, </w:t>
            </w:r>
            <w:r w:rsidRPr="00F1032B">
              <w:rPr>
                <w:rFonts w:ascii="Times New Roman" w:eastAsia="Times New Roman" w:hAnsi="Times New Roman" w:cs="Times New Roman"/>
                <w:color w:val="000000"/>
                <w:sz w:val="26"/>
                <w:szCs w:val="26"/>
              </w:rPr>
              <w:lastRenderedPageBreak/>
              <w:t>B, C (trừ cơ sở sản xuất dệt may, gỗ, giày, giấy)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lưu hóa cao su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hàng thủ công mỹ nghệ</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khắc, chạm (làm chổi, bàn chải, chổi sơn, trừ phần xử lý gỗ)</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Luyện quặng (trừ quặng sắt)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than cốc, sản xuất than đá bánh, than non bánh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Khai thác mỏ quặng kim loại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phế liệu vải sợi (như phân loại, giặt, chải, buôn bán)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các mặt hàng làm từ da thuộc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sản xuất dây chun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da thuộc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bàn chải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sơn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hóa chất vô cơ và hữu cơ chế biến nguyên liệu và bán thành phẩm sản phẩm như phân bón dạng hạt, viên nhỏ, hột hoặc axít, muối, dung môi, cao su tổng hợp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áo đi mưa, nhựa tấm, khăn trải bàn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xi nến, sáp đánh bóng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nhựa đúc, nhựa thanh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nút chai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xà phòng, hóa mỹ phẩm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sản phẩm nhựa lắp ráp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chất dẻo, cao su đặc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các sản phẩm từ cao su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sản xuất hoa giả</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in, xưởng in (không tính sản xuất giấy, chế biến giấy)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mực in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đóng sách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thuốc lá và nguyên liệu thuốc lá</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làm phân trộn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đốt rác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sơn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vật liệu xây dựng có gỗ, giấy, chất dễ cháy (trừ sản xuất nội thất bằng gỗ)</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cồn và các chất lỏng dễ cháy khác (trừ dầu mỏ, khí đốt)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pin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vẽ tranh, phông ảnh, làm pano quảng cáo</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Trung tâm tổ chức đám ma/hỏa táng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giấy ráp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đóng tàu, sửa chữa tàu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sửa chữa, bảo dưỡng máy bay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Cơ sở sản xuất dệt may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sản xuất dây thừng, chão trừ chỉ khâu (nếu dây có phủ nhựa, nhựa đường)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sản xuất dây thừng, chão trừ chỉ khâu (nếu dây không có phủ nhựa, nhựa đường)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dệt kim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chế biến lông thú, may da thú</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Nhuộm vải, in trên vải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dệt các loại sợi khác (cotton, vitco, lanh, gai, đay)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xe, kéo sợi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thảm, tấm trải sàn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chỉ khâu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giặt, là, tẩy, hấp, nhuộm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May đồ lót, đăng ten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May quần áo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các sản phẩm dệt chưa phân loại khác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lụa, tơ tằm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dệt tơ, len, sợi tổng hợp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lông vũ</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Cơ sở sản xuất gỗ</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than củi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máy/xưởng sản xuất bút chì gỗ</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làm rổ, sọt, sản phẩm làm từ mây, tre, nứa</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điểm, hương, vàng mã</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máy/xưởng sản xuất, chế biến đồ gỗ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Cơ sở sản xuất giày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0,35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Xưởng sản xuất giấy, chế biến giấy, bao bì carton, bao bì công nghiệp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0,35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16.2</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công nghiệp có hạng nguy hiểm cháy nổ D, E</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sắt, thép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gia công quặng khác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chế biến (sỏi, đá dăm, than xỉ trộn nhựa) với asphant hoặc bitumen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khoáng sản (cưa, mài, đánh bóng)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và chế biến thủy tinh rỗng, chai lọ, dụng cụ quang học, kính cửa, kính tấm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phim, phòng in tráng phim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vật liệu phim ảnh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máy/xưởng đánh bóng, xay xát gạo, bột mỳ, nông sản thực phẩm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chế biến thức ăn gia súc và thức ăn khác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mì ăn liền, cháo ăn liền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đường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bánh kẹo</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dầu ăn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nước mắm, dấm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thực phẩm đồ hộp, chế biến thủy sản, thịt, sữa</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mạch nha</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bia, rượu, nước trái cây, nước khoáng và nước uống các loại, xưởng ủ bia</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hàn, cắt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đồ gốm thông thường và cao cấp như gạch lát, đồ sứ, đồ đất nung, đồ gốm...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Lò đúc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xi măng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thiết bị điện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cấu trúc kim loại và cấu kiện lắp sẵn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vỏ đồ hộp kim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ốc vít và gia công các kim loại khác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xử lý nước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xử lý chất thải rắn (không sử dụng công nghệ đốt)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máy lọc nước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đồng hồ</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pin mặt trời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thiết bị cơ khí</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phụ tùng ô tô, xe đạp, xe máy và phụ tùng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lắp ráp ô tô, xe máy, xe điện...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và chế biến vàng, bạc, đồ trang sức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lắp ráp linh kiện điện tử (máy in, máy ảnh, máy tính, đồ gia dụng...), thiết bị viễn thông, chất bán dẫn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cáp quang, cáp đồng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phụ tùng máy bay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vòng bi, doăng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khóa kéo bằng kim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dược phẩm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điện; trạm biến áp có điện áp từ 110 kv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17.1</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nhiệt điện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17.2</w:t>
            </w:r>
          </w:p>
        </w:tc>
        <w:tc>
          <w:tcPr>
            <w:tcW w:w="335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thủy điện; nhà máy điện nguyên tử, điện địa nhiệt, điện thủy triều, điện rác, điện sinh khối, điện khí biogas, điện đồng phát và nhà máy điện khác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17.3</w:t>
            </w:r>
          </w:p>
        </w:tc>
        <w:tc>
          <w:tcPr>
            <w:tcW w:w="33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điện gió, điện mặt trời trên mặt nước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17.4</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biến áp có điện áp từ 110 kv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có hoạt động sản xuất, bảo quản, sử dụng chất cháy, nổ có tổng khối tích từ 5.000 m</w:t>
            </w:r>
            <w:r w:rsidRPr="00F1032B">
              <w:rPr>
                <w:rFonts w:ascii="Times New Roman" w:eastAsia="Times New Roman" w:hAnsi="Times New Roman" w:cs="Times New Roman"/>
                <w:color w:val="000000"/>
                <w:sz w:val="26"/>
                <w:szCs w:val="26"/>
                <w:vertAlign w:val="superscript"/>
              </w:rPr>
              <w:t>3 </w:t>
            </w:r>
            <w:r w:rsidRPr="00F1032B">
              <w:rPr>
                <w:rFonts w:ascii="Times New Roman" w:eastAsia="Times New Roman" w:hAnsi="Times New Roman" w:cs="Times New Roman"/>
                <w:color w:val="000000"/>
                <w:sz w:val="26"/>
                <w:szCs w:val="26"/>
              </w:rPr>
              <w:t> trở lên; kho hàng hóa, vật tư cháy được hoặc hàng hóa vật tư không cháy đựng trong các bao bì cháy được có tổng khối tích từ 5.000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18.1</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có hoạt động sản xuất, bảo quản, sử dụng chất cháy, nổ</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Kho hàng hóa, vật tư cháy được (trừ kho bông vải sợi, len dạ, sản phẩm dệt)</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độc lập, không nằm trong phạm vi nhà máy, cơ sở có hoạt động sản xuất)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hàng hóa tổng hợp, bãi hàng hóa</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nhựa đường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sơn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chứa hóa chất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thành phẩm, bán thành phẩm nhựa, cao su</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rượu cồn và các chất lỏng dễ cháy</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giấy, bìa, bao bì</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đồ gỗ và các sản phẩm về gỗ</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tinh dầu, hương liệu, dầu ăn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ngành thuốc lá</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dược phẩm</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vật tư ngành ảnh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hàng thiết bị điện, điện tử</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hàng nông sản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lạnh</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vật liệu xây dựng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18.2</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Kho bông vải sợi, len dạ, sản phẩm dệt</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độc lập, không nằm trong phạm vi nhà máy, cơ sở có hoạt động sản xuất)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0,25</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18.3</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Hàng hóa vật tư không cháy đựng trong các bao bì cháy được (độc lập, không nằm trong phạm vi nhà máy, cơ sở có hoạt động sản xuất)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Trong đó:</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Gạch, đồ gốm sứ, xi măng, thạch cao</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Kim loại, phụ tùng cơ khí</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Dầu nhớt, mỡ bôi trơn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Nước khoáng và đồ uống các loại</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c>
          <w:tcPr>
            <w:tcW w:w="7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0,1</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Trường hợp thời hạn bảo hiểm khác 01 năm, phí bảo hiểm được tính dựa trên phí bảo hiểm nêu trên và tương ứng với thời hạn được bảo hiểm. Cách tính cụ thể như sau:</w:t>
      </w:r>
    </w:p>
    <w:tbl>
      <w:tblPr>
        <w:tblW w:w="5000" w:type="pct"/>
        <w:tblCellSpacing w:w="0" w:type="dxa"/>
        <w:shd w:val="clear" w:color="auto" w:fill="FFFFFF"/>
        <w:tblCellMar>
          <w:left w:w="0" w:type="dxa"/>
          <w:right w:w="0" w:type="dxa"/>
        </w:tblCellMar>
        <w:tblLook w:val="04A0"/>
      </w:tblPr>
      <w:tblGrid>
        <w:gridCol w:w="1815"/>
        <w:gridCol w:w="287"/>
        <w:gridCol w:w="4872"/>
        <w:gridCol w:w="477"/>
        <w:gridCol w:w="1909"/>
      </w:tblGrid>
      <w:tr w:rsidR="00F1032B" w:rsidRPr="00F1032B" w:rsidTr="00F1032B">
        <w:trPr>
          <w:tblCellSpacing w:w="0" w:type="dxa"/>
        </w:trPr>
        <w:tc>
          <w:tcPr>
            <w:tcW w:w="9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Phí bảo hiểm </w:t>
            </w:r>
            <w:r w:rsidRPr="00F1032B">
              <w:rPr>
                <w:rFonts w:ascii="Times New Roman" w:eastAsia="Times New Roman" w:hAnsi="Times New Roman" w:cs="Times New Roman"/>
                <w:color w:val="000000"/>
                <w:sz w:val="26"/>
                <w:szCs w:val="26"/>
              </w:rPr>
              <w:lastRenderedPageBreak/>
              <w:t>phải nộp</w:t>
            </w:r>
          </w:p>
        </w:tc>
        <w:tc>
          <w:tcPr>
            <w:tcW w:w="1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w:t>
            </w:r>
          </w:p>
        </w:tc>
        <w:tc>
          <w:tcPr>
            <w:tcW w:w="2550" w:type="pct"/>
            <w:tcBorders>
              <w:top w:val="nil"/>
              <w:left w:val="nil"/>
              <w:bottom w:val="single" w:sz="8" w:space="0" w:color="auto"/>
              <w:right w:val="nil"/>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Phí bảo hiểm năm theo danh mục cơ sở có </w:t>
            </w:r>
            <w:r w:rsidRPr="00F1032B">
              <w:rPr>
                <w:rFonts w:ascii="Times New Roman" w:eastAsia="Times New Roman" w:hAnsi="Times New Roman" w:cs="Times New Roman"/>
                <w:color w:val="000000"/>
                <w:sz w:val="26"/>
                <w:szCs w:val="26"/>
              </w:rPr>
              <w:lastRenderedPageBreak/>
              <w:t>nguy hiểm về cháy, nổ</w:t>
            </w:r>
          </w:p>
        </w:tc>
        <w:tc>
          <w:tcPr>
            <w:tcW w:w="25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x</w:t>
            </w:r>
          </w:p>
        </w:tc>
        <w:tc>
          <w:tcPr>
            <w:tcW w:w="1000" w:type="pct"/>
            <w:vMerge w:val="restar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Thời hạn được </w:t>
            </w:r>
            <w:r w:rsidRPr="00F1032B">
              <w:rPr>
                <w:rFonts w:ascii="Times New Roman" w:eastAsia="Times New Roman" w:hAnsi="Times New Roman" w:cs="Times New Roman"/>
                <w:color w:val="000000"/>
                <w:sz w:val="26"/>
                <w:szCs w:val="26"/>
              </w:rPr>
              <w:lastRenderedPageBreak/>
              <w:t>bảo hiểm (ngày)</w:t>
            </w:r>
          </w:p>
        </w:tc>
      </w:tr>
      <w:tr w:rsidR="00F1032B" w:rsidRPr="00F1032B" w:rsidTr="00F1032B">
        <w:trPr>
          <w:tblCellSpacing w:w="0" w:type="dxa"/>
        </w:trPr>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2550" w:type="pct"/>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365 (ngày)</w:t>
            </w: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t>Ghi chú:</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 N là các ký hiệu về loại mức khấu trừ bảo hiểm quy định tại khoản 1 Mục II Phụ lục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Đối với Cơ sở công nghiệp có hạng nguy hiểm cháy, nổ A, B, C, D, E (nhóm 16): Trường hợp phân hạng nguy hiểm cháy, nổ của cơ sở sản xuất công nghiệp tại Biên bản kiểm tra kết quả nghiệm thu về phòng cháy và chữa cháy hoặc Biên bản kiểm tra an toàn về phòng cháy và chữa cháy khác so với chi tiết tại nhóm 16 nêu trên thì thực hiện theo Biên bản kiểm tra kết quả nghiệm thu về phòng cháy và chữa cháy hoặc Biên bản kiểm tra an toàn về phòng cháy và chữa cháy.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cơ sở có nguy hiểm về cháy, nổ có tổng số tiền bảo hiểm của các tài sản tại một địa điểm từ 1.000 tỷ đồng trở lên (trừ cơ sở hạt nhân): Thực hiện theo quy định tại </w:t>
      </w:r>
      <w:bookmarkStart w:id="177" w:name="tc_36"/>
      <w:r w:rsidRPr="00F1032B">
        <w:rPr>
          <w:rFonts w:ascii="Times New Roman" w:eastAsia="Times New Roman" w:hAnsi="Times New Roman" w:cs="Times New Roman"/>
          <w:color w:val="0000FF"/>
          <w:sz w:val="26"/>
          <w:szCs w:val="26"/>
        </w:rPr>
        <w:t>khoản 2 Điều 26 Nghị định này</w:t>
      </w:r>
      <w:bookmarkEnd w:id="177"/>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Đối với cơ sở hạt nhân: Thực hiện theo quy định tại </w:t>
      </w:r>
      <w:bookmarkStart w:id="178" w:name="tc_37"/>
      <w:r w:rsidRPr="00F1032B">
        <w:rPr>
          <w:rFonts w:ascii="Times New Roman" w:eastAsia="Times New Roman" w:hAnsi="Times New Roman" w:cs="Times New Roman"/>
          <w:color w:val="0000FF"/>
          <w:sz w:val="26"/>
          <w:szCs w:val="26"/>
        </w:rPr>
        <w:t>khoản 3 Điều 26 Nghị định này</w:t>
      </w:r>
      <w:bookmarkEnd w:id="178"/>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79" w:name="chuong_2_2"/>
      <w:r w:rsidRPr="00F1032B">
        <w:rPr>
          <w:rFonts w:ascii="Times New Roman" w:eastAsia="Times New Roman" w:hAnsi="Times New Roman" w:cs="Times New Roman"/>
          <w:b/>
          <w:bCs/>
          <w:color w:val="000000"/>
          <w:sz w:val="26"/>
          <w:szCs w:val="26"/>
        </w:rPr>
        <w:t>II. MỨC KHẤU TRỪ BẢO HIỂM</w:t>
      </w:r>
      <w:bookmarkEnd w:id="179"/>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cơ sở có nguy hiểm về cháy, nổ (trừ cơ sở hạt nhân) có tổng số tiền bảo hiểm của các tài sản tại một địa điểm dưới 1.000 tỷ đồng: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Đối với cơ sở có nguy hiểm về cháy, nổ thuộc loại M quy định tại khoản 1 Mục I Phụ lục này: Mức khấu trừ bảo hiểm tối đa là 1% số tiền bảo hiểm và không thấp hơn mức khấu trừ bảo hiểm quy định tại điểm c khoản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Đối với cơ sở có nguy hiểm về cháy, nổ thuộc loại N quy định tại khoản 1 Mục I Phụ lục này: Mức khấu trừ bảo hiểm tối đa là 10% số tiền bảo hiểm và không thấp hơn mức khấu trừ bảo hiểm quy định tại điểm c khoản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Trong mọi trường hợp, mức khấu trừ bảo hiểm quy định tại điểm a và điểm b khoản này không thấp hơn mức khấu trừ bảo hiểm sau:</w:t>
      </w:r>
    </w:p>
    <w:p w:rsidR="00F1032B" w:rsidRPr="00F1032B" w:rsidRDefault="00F1032B" w:rsidP="00F1032B">
      <w:pPr>
        <w:shd w:val="clear" w:color="auto" w:fill="FFFFFF"/>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Đơn vị tính: triệu đồng</w:t>
      </w:r>
    </w:p>
    <w:tbl>
      <w:tblPr>
        <w:tblW w:w="5000" w:type="pct"/>
        <w:tblCellSpacing w:w="0" w:type="dxa"/>
        <w:shd w:val="clear" w:color="auto" w:fill="FFFFFF"/>
        <w:tblCellMar>
          <w:left w:w="0" w:type="dxa"/>
          <w:right w:w="0" w:type="dxa"/>
        </w:tblCellMar>
        <w:tblLook w:val="04A0"/>
      </w:tblPr>
      <w:tblGrid>
        <w:gridCol w:w="4843"/>
        <w:gridCol w:w="4557"/>
      </w:tblGrid>
      <w:tr w:rsidR="00F1032B" w:rsidRPr="00F1032B" w:rsidTr="00F1032B">
        <w:trPr>
          <w:tblCellSpacing w:w="0" w:type="dxa"/>
        </w:trPr>
        <w:tc>
          <w:tcPr>
            <w:tcW w:w="2550" w:type="pct"/>
            <w:tcBorders>
              <w:top w:val="single" w:sz="8" w:space="0" w:color="auto"/>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tiền bảo hiểm</w:t>
            </w:r>
          </w:p>
        </w:tc>
        <w:tc>
          <w:tcPr>
            <w:tcW w:w="2400" w:type="pct"/>
            <w:tcBorders>
              <w:top w:val="single" w:sz="8" w:space="0" w:color="auto"/>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bảo hiểm</w:t>
            </w:r>
          </w:p>
        </w:tc>
      </w:tr>
      <w:tr w:rsidR="00F1032B" w:rsidRPr="00F1032B" w:rsidTr="00F1032B">
        <w:trPr>
          <w:tblCellSpacing w:w="0" w:type="dxa"/>
        </w:trPr>
        <w:tc>
          <w:tcPr>
            <w:tcW w:w="2550" w:type="pct"/>
            <w:tcBorders>
              <w:top w:val="nil"/>
              <w:left w:val="single" w:sz="8" w:space="0" w:color="auto"/>
              <w:bottom w:val="nil"/>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Đến 2.000</w:t>
            </w:r>
          </w:p>
        </w:tc>
        <w:tc>
          <w:tcPr>
            <w:tcW w:w="24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r>
      <w:tr w:rsidR="00F1032B" w:rsidRPr="00F1032B" w:rsidTr="00F1032B">
        <w:trPr>
          <w:tblCellSpacing w:w="0" w:type="dxa"/>
        </w:trPr>
        <w:tc>
          <w:tcPr>
            <w:tcW w:w="2550" w:type="pct"/>
            <w:tcBorders>
              <w:top w:val="nil"/>
              <w:left w:val="single" w:sz="8" w:space="0" w:color="auto"/>
              <w:bottom w:val="nil"/>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2.000 đến 10.000</w:t>
            </w:r>
          </w:p>
        </w:tc>
        <w:tc>
          <w:tcPr>
            <w:tcW w:w="24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2550" w:type="pct"/>
            <w:tcBorders>
              <w:top w:val="nil"/>
              <w:left w:val="single" w:sz="8" w:space="0" w:color="auto"/>
              <w:bottom w:val="nil"/>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10.000 đến 50.000</w:t>
            </w:r>
          </w:p>
        </w:tc>
        <w:tc>
          <w:tcPr>
            <w:tcW w:w="24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2550" w:type="pct"/>
            <w:tcBorders>
              <w:top w:val="nil"/>
              <w:left w:val="single" w:sz="8" w:space="0" w:color="auto"/>
              <w:bottom w:val="nil"/>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50.000 đến 100.000</w:t>
            </w:r>
          </w:p>
        </w:tc>
        <w:tc>
          <w:tcPr>
            <w:tcW w:w="24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2550" w:type="pct"/>
            <w:tcBorders>
              <w:top w:val="nil"/>
              <w:left w:val="single" w:sz="8" w:space="0" w:color="auto"/>
              <w:bottom w:val="nil"/>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100.000 đến 200.000</w:t>
            </w:r>
          </w:p>
        </w:tc>
        <w:tc>
          <w:tcPr>
            <w:tcW w:w="24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2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Trên 200.000</w:t>
            </w:r>
          </w:p>
        </w:tc>
        <w:tc>
          <w:tcPr>
            <w:tcW w:w="2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r>
    </w:tbl>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cơ sở có nguy hiểm về cháy, nổ có tổng số tiền bảo hiểm của các tài sản tại một địa điểm từ 1.000 tỷ đồng trở lên (trừ cơ sở hạt nhân): Thực hiện theo quy định tại </w:t>
      </w:r>
      <w:bookmarkStart w:id="180" w:name="tc_38"/>
      <w:r w:rsidRPr="00F1032B">
        <w:rPr>
          <w:rFonts w:ascii="Times New Roman" w:eastAsia="Times New Roman" w:hAnsi="Times New Roman" w:cs="Times New Roman"/>
          <w:color w:val="0000FF"/>
          <w:sz w:val="26"/>
          <w:szCs w:val="26"/>
        </w:rPr>
        <w:t>khoản 2 Điều 26 Nghị định này</w:t>
      </w:r>
      <w:bookmarkEnd w:id="180"/>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Đối với cơ sở hạt nhân: Thực hiện theo quy định tại </w:t>
      </w:r>
      <w:bookmarkStart w:id="181" w:name="tc_39"/>
      <w:r w:rsidRPr="00F1032B">
        <w:rPr>
          <w:rFonts w:ascii="Times New Roman" w:eastAsia="Times New Roman" w:hAnsi="Times New Roman" w:cs="Times New Roman"/>
          <w:color w:val="0000FF"/>
          <w:sz w:val="26"/>
          <w:szCs w:val="26"/>
        </w:rPr>
        <w:t>khoản 3 Điều 26 Nghị định này</w:t>
      </w:r>
      <w:bookmarkEnd w:id="181"/>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82" w:name="chuong_pl_3"/>
      <w:r w:rsidRPr="00F1032B">
        <w:rPr>
          <w:rFonts w:ascii="Times New Roman" w:eastAsia="Times New Roman" w:hAnsi="Times New Roman" w:cs="Times New Roman"/>
          <w:b/>
          <w:bCs/>
          <w:color w:val="000000"/>
          <w:sz w:val="26"/>
          <w:szCs w:val="26"/>
        </w:rPr>
        <w:t>PHỤ LỤC III</w:t>
      </w:r>
      <w:bookmarkEnd w:id="182"/>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83" w:name="chuong_pl_3_name"/>
      <w:r w:rsidRPr="00F1032B">
        <w:rPr>
          <w:rFonts w:ascii="Times New Roman" w:eastAsia="Times New Roman" w:hAnsi="Times New Roman" w:cs="Times New Roman"/>
          <w:color w:val="000000"/>
          <w:sz w:val="26"/>
          <w:szCs w:val="26"/>
        </w:rPr>
        <w:t>MỨC PHÍ BẢO HIỂM, MỨC KHẤU TRỪ BẢO HIỂM BẮT BUỘC CÔNG TRÌNH TRONG THỜI GIAN XÂY DỰNG</w:t>
      </w:r>
      <w:bookmarkEnd w:id="183"/>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84" w:name="chuong_1_3"/>
      <w:r w:rsidRPr="00F1032B">
        <w:rPr>
          <w:rFonts w:ascii="Times New Roman" w:eastAsia="Times New Roman" w:hAnsi="Times New Roman" w:cs="Times New Roman"/>
          <w:b/>
          <w:bCs/>
          <w:color w:val="000000"/>
          <w:sz w:val="26"/>
          <w:szCs w:val="26"/>
        </w:rPr>
        <w:t>I. ĐỐI VỚI CÔNG TRÌNH XÂY DỰNG ĐƯỢC BẢO HIỂM KHÔNG BAO GỒM PHẦN CÔNG VIỆC LẮP ĐẶT HOẶC CÓ BAO GỒM PHẦN CÔNG VIỆC LẮP ĐẶT NHƯNG CHI PHÍ THỰC HIỆN PHẦN CÔNG VIỆC LẮP ĐẶT THẤP HƠN 50% TỔNG GIÁ TRỊ HẠNG MỤC CÔNG TRÌNH XÂY DỰNG ĐƯỢC BẢO HIỂM</w:t>
      </w:r>
      <w:bookmarkEnd w:id="18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công trình xây dựng có giá trị dưới 1.000 tỷ đồng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Mức phí bảo hiểm (Chưa bao gồm thuế GTGT):</w:t>
      </w:r>
    </w:p>
    <w:tbl>
      <w:tblPr>
        <w:tblW w:w="5000" w:type="pct"/>
        <w:tblCellSpacing w:w="0" w:type="dxa"/>
        <w:shd w:val="clear" w:color="auto" w:fill="FFFFFF"/>
        <w:tblCellMar>
          <w:left w:w="0" w:type="dxa"/>
          <w:right w:w="0" w:type="dxa"/>
        </w:tblCellMar>
        <w:tblLook w:val="04A0"/>
      </w:tblPr>
      <w:tblGrid>
        <w:gridCol w:w="960"/>
        <w:gridCol w:w="5372"/>
        <w:gridCol w:w="2013"/>
        <w:gridCol w:w="1055"/>
      </w:tblGrid>
      <w:tr w:rsidR="00F1032B" w:rsidRPr="00F1032B" w:rsidTr="00F1032B">
        <w:trPr>
          <w:tblCellSpacing w:w="0" w:type="dxa"/>
        </w:trPr>
        <w:tc>
          <w:tcPr>
            <w:tcW w:w="50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28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Loại công trình xây dựng</w:t>
            </w:r>
          </w:p>
        </w:tc>
        <w:tc>
          <w:tcPr>
            <w:tcW w:w="10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 theo giá trị công trình xây dựng)</w:t>
            </w:r>
          </w:p>
        </w:tc>
        <w:tc>
          <w:tcPr>
            <w:tcW w:w="5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(loại)</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DÂN DỤNG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Nhà ở</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tòa nhà chung cư, nhà ở tập thể khác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cộng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giáo dục, đào tạo, nghiên cứu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1.2.1 2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y tế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thể thao cấp III trở lên: Sân vận động; nhà thi đấu (các môn thể thao); bể bơi; sân thi đấu các môn thể thao có khán đài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thể thao ngoài trời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thể thao trong nhà</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thể thao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văn hóa cấp III trở lên: Trung tâm hội nghị, nhà hát, nhà văn hóa, câu lạc bộ, rạp chiếu phim, rạp xiếc, vũ trường; các công trình di tích; bảo tàng, thư viện, triển lãm; nhà trưng bày; tượng đài ngoài trời; công trình vui chơi, giải trí; các công trình văn hóa tập trung đông người và các công trình khác có chức năng tương đương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thương mại: Trung tâm thương mại, siêu thị cấp III trở lên; Nhà hàng, cửa hàng ăn uống, giải khát và các cơ sở tương tự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1.2.5.3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dịch vụ cấp III trở lên: Khách sạn, nhà khách, nhà nghỉ; khu nghỉ dưỡng; biệt thự lưu trú; căn hộ lưu trú và các cơ sở tương tự; bưu điện, bưu cục, cơ sở cung cấp dịch vụ bưu chính, viễn thông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trụ sở, văn phòng làm việc cấp III trở lên: các tòa nhà sử dụng làm trụ sở, văn phòng làm việc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đa năng hoặc hỗn hợp cấp III trở lên: các tòa nhà, kết cấu khác sử dụng đa năng hoặc hỗn hợp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1.2.8.1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1.2.8.2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1.2.8.3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1.2.9</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phục vụ dân sinh khác cấp II trở lên: các tòa nhà hoặc kết cấu khác được xây dựng phục vụ dân sinh)</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1.2.9.1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Không có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1.2.9.2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1 tới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1.2.9.3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Có trên 2 tầng 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NGHIỆP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sản xuất vật liệu, sản phẩm xây dựng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xi măng; sản xuất clinke công suất từ 100.000 tấn clinke/năm trở lên; cơ sở sản xuất gạch, ngói, tấm lợp fibro xi măng có công suất từ 100 triệu viên gạch, ngói quy chuẩn/năm trở lên hoặc 500.000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tấm lợp fibro xi măng/năm trở lên; cơ sở sản xuất gạch ốp lát các loại có công suất từ 500.000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/năm trở lên; cơ sở sản xuất nguyên vật liệu xây dựng khác có công suất từ 50.000 tấn sản phẩm/năm trở lên; cơ sở sản xuất bê tông nhựa nóng, bê tông thương phẩm và các loại có công suất từ 100 tấn sản phẩm/ngày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loại mỏ khai thác vật liệu xây dựng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sản xuất vật liệu xây dựng cấp III trở lên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luyện kim và cơ khí chế tạo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cán, kéo kim loại có công suất từ 2.000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kim có sử dụng nguyên liệu là phế liệu hoặc có công suất từ 1.000 tấn sản phẩm/năm trở lên đối với dự án sử dụng nguyên liệu khảo</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sửa chữa, công-ten-nơ, rơ moóc có năng lực sản xuất từ 500 công-ten-nơ, rơ moóc/năm trở lên hoặc có năng lực sửa chữa từ 2.500 công-ten-nơ, rơ moóc/năm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đóng mới, sửa chữa, lắp ráp đầu máy, toa xe; cơ sở sản xuất, sửa chữa, lắp ráp xe máy, ô tô có công suất từ 5.000 xe máy/năm trở lên hoặc có công suất từ 500 ô tô/năm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2.2.5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đóng mới, sửa chữa tàu thủy cho tàu có trọng tải từ 1.000 DWT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tạo máy móc, thiết bị công cụ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mạ, phun phủ và đánh bóng kim loại có công suất từ 500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nhôm, thép định hình có công suất từ 2.000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2.2.9</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kim và cơ khí chế tạo cấp III trở lên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khai thác mỏ và chế biến khoáng sản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khai thác khoáng sản rắn (không sử dụng hóa chất chất độc hại, vật liệu nổ công nghiệp) có khối lượng mỏ (khoáng sản, đất đá thải) từ 50.000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nguyên khai/năm trở lên hoặc có tổng khối lượng mỏ (khoáng sản, đất đá thải) từ 1.000.000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nguyên khối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khai thác cát, sỏi quy mô từ 50.000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vật liệu nguyên khai/năm trở lên; công trình khai thác vật liệu san lấp mặt bằng quy mô từ 100.000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vật liệu nguyên khai/năm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chế biến khoáng sản rắn không sử dụng hóa chất độc hại có công suất từ 50.000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sản phẩm/năm trở lên hoặc có tổng lượng đất đá thải ra từ 500.000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khai thác nước cấp cho hoạt động sản xuất, kinh doanh, dịch vụ và sinh hoạt có công suất khai thác từ 3.000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nước/ngày đêm trở lên đối với nước dưới đất hoặc có công suất khai thác từ 50.000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nước/ngày đêm trở lên đối với nước mặt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Công trình khai thác nước khoáng thiên nhiên, nước nóng thiên nhiên (dưới đất hoặc lộ ra trên mặt đất) có công suất khai thác từ 200 </w:t>
            </w:r>
            <w:r w:rsidRPr="00F1032B">
              <w:rPr>
                <w:rFonts w:ascii="Times New Roman" w:eastAsia="Times New Roman" w:hAnsi="Times New Roman" w:cs="Times New Roman"/>
                <w:color w:val="000000"/>
                <w:sz w:val="26"/>
                <w:szCs w:val="26"/>
              </w:rPr>
              <w:lastRenderedPageBreak/>
              <w:t>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nước/ngày đêm trở lên đối với nước sử dụng để đóng chai hoặc có công suất khai thác từ 500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nước/ngày đêm trở lên đối với nước sử dụng cho mục đích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2.3.6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khai thác mỏ và chế biến khoáng sản cấp III trở lên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dầu khí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lọc dầu, chế biến khí cấp III trở lên; nhà máy lọc hóa dầu (trừ các dự án chiết nạp LPG, pha chế dầu nhờn), sản xuất sản phẩm hóa dầu, dung dịch khoan, hóa phẩm dầu khí có công suất từ 500 tấn sản phẩm/năm trở lên; tuyến đường ống dẫn dầu, khí có chiều dài từ 20 km trở lên; xây dựng tuyến đường ống dẫn dầu, khí; khu trung chuyển dầu, khí</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xăng dầu, cửa hàng kinh doanh xăng dầu có dung tích chứa từ 200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năng lượng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nhiệt điện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phong điện (trang trại gió) cấp III trở lên hoặc có diện tích từ 100 ha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quang điện (trang trại điện mặt trời) cấp III trở lên hoặc có diện tích từ 100 ha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thủy điện cấp III trở lên hoặc có dung tích hồ chứa từ 100.000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 trở lên hoặc công suất từ 10 MW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Tuyến đường dây tải điện 110 kV trở lên; trạm điện công suất 500 kV</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gia công các thiết bị điện tử, linh kiện điện, điện tử công suất từ 500.000 sản phẩm/năm trở lên; thiết bị điện có công suất từ 500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2.5.7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năng lượng khác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hóa chất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phân bón, thuốc bảo vệ thực vật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phân hóa học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chứa thuốc bảo vệ thực vật từ 500 tấn trở lên, phân bón từ 5.000 tấn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thuốc bảo vệ thực vật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sang chai, đóng gói thuốc bảo vệ thực vật có công suất từ 300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phân hữu cơ, phân vi sinh có công suất từ 10.000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hóa chất, dược phẩm, mỹ phẩm, nhựa, chất dẻo</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dược phẩm; cơ sở sản xuất thuốc thú y, nguyên liệu làm thuốc (bao gồm cả nguyên liệu hóa dược và tá dược) có công suất từ 50 tấn sản phẩm/năm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hóa mỹ phẩm có công suất từ 50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hóa chất, chất dẻo, các sản phẩm từ chất dẻo, sơn có công suất từ 100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các sản phẩm nhựa, hạt nhựa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chất tẩy rửa, phụ gia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thuốc phóng, thuốc nổ, hỏa cụ</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2.6.2.7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thuốc nổ công nghiệp; kho chứa thuốc nổ cố định từ 5 tấn trở lên; kho chứa hóa chất từ 500 tấn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Vùng sản xuất muối từ nước biển có diện tích từ 100 ha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hóa chất cấp III trở lên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nghiệp nhẹ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chế biến thực phẩm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sơ chế, chế biến lương thực, thực phẩm có công suất từ 500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giết mổ gia súc, gia cầm tập trung có công suất từ 200 gia súc/ngày trở lên; 3.000 gia cầm/ngày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thủy sản, bột cá, các phụ phẩm thủy sản có công suất từ 100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đường có công suất từ 10.000 tấn đường/năm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cồn, rượu có công suất từ 500.000 lít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bia, nước giải khát có công suất từ 10.000.000 lít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bột ngọt có công suất từ 5.000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chế biến sữa có công suất từ 10.000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2.7.1.9</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chế biến dầu ăn có công suất từ 10.000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2.7.1.10</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bánh, kẹo có công suất từ 5.000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2.7.1.11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nước lọc, nước tinh khiết đóng chai có công suất từ 2.000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nước/năm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chế biến nông sản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thuốc lá điếu, cơ sở chế biến nguyên liệu thuốc lá có công suất từ 100.000.000 điếu/năm trở lên hoặc có công suất từ 1.000 tấn nguyên liệu/năm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chế biến nông, sản, tinh bột các loại có công suất từ 10.000 tấn sản phẩm/năm trở lên đối với công nghệ sản xuất, chế biến khô hoặc có công suất từ 1.000 tấn sản phẩm/năm trở lên đối với công nghệ sản xuất, chế biến ướt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chè, hạt điều, ca cao, cà phê, hạt tiêu công suất từ 5.000 tấn sản phẩm/năm trở lên đối với công nghệ chế biến khô hoặc có công suất từ 1.000 tấn sản phẩm/năm trở lên đối với công nghệ chế biến ướt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chế biến gỗ, sản xuất thủy tinh, gốm sứ</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gỗ, dăm gỗ từ gỗ tự nhiên có công suất từ 3.000 m</w:t>
            </w:r>
            <w:r w:rsidRPr="00F1032B">
              <w:rPr>
                <w:rFonts w:ascii="Times New Roman" w:eastAsia="Times New Roman" w:hAnsi="Times New Roman" w:cs="Times New Roman"/>
                <w:color w:val="000000"/>
                <w:sz w:val="26"/>
                <w:szCs w:val="26"/>
                <w:vertAlign w:val="superscript"/>
              </w:rPr>
              <w:t>3</w:t>
            </w:r>
            <w:r w:rsidRPr="00F1032B">
              <w:rPr>
                <w:rFonts w:ascii="Times New Roman" w:eastAsia="Times New Roman" w:hAnsi="Times New Roman" w:cs="Times New Roman"/>
                <w:color w:val="000000"/>
                <w:sz w:val="26"/>
                <w:szCs w:val="26"/>
              </w:rPr>
              <w:t>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ván ép có công suất từ 100.000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đồ gỗ có tổng diện tích kho, bãi, nhà xưởng từ 10.000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bóng đèn, phích nước có công suất từ 1.000.000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đồ gốm sứ, thủy tinh có công suất từ 1.000 tấn sản phẩm/năm hoặc 10.000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giấy và văn phòng phẩm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bột giấy và giấy từ nguyên liệu thô có công suất từ 300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2.7.4.2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giấy, bao bì cát tông từ bột giấy hoặc phế liệu có công suất từ 5.000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văn phòng phẩm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về dệt nhuộm và may mặc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nhuộm, dệt có nhuộm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dệt không nhuộm có công suất từ 10.000.000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vải/năm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và gia công các sản phẩm dệt, may có công suất từ 50.000 sản phẩm/năm trở lên nếu có công đoạn giặt tẩy hoặc có Công suất từ 2.000.000 sản phẩm/năm trở lên nếu không có công đoạn giặt tẩy</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giặt là công nghiệp công suất từ 50.000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sợi tơ tằm, sợi bông, sợi nhân tạo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và chế biến thức ăn chăn nuôi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thức ăn chăn nuôi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nuôi trồng thủy sản có diện tích mặt nước từ 10 ha trở lên, riêng các dự án nuôi quảng canh từ 50 ha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gia súc, gia cầm có quy mô chuồng trại từ 1.000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 cơ sở chăn nuôi, chăm sóc động vật hoang dã tập trung có quy mô chuồng trại từ 500 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công nghiệp nhẹ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chế biến cao su, mủ cao su có công suất từ 1.000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2.7.7.2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các sản phẩm trang thiết bị y tế từ nhựa và cao su y tế có công suất từ 100.000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giầy dép có công suất từ 1.000.000 đôi/năm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săm lốp cao su các loại (riêng cơ sở sản xuất săm lốp cao su ô tô, máy kéo có công suất từ 50.000 sản phẩm/năm trở lên; cơ sở sản xuất săm lốp cao su xe đạp, xe máy có công suất từ 100.000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Dự án xây dựng cơ sở sản xuất mực in, vật liệu ngành in khác có công suất từ 500 tấn mực in và từ 1.000 sản phẩm/năm trở lên đối với các vật liệu ngành in khác</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ắc quy, pin có công suất từ 50.000 KWh/năm trở lên hoặc từ 100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thuộc da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gas CO</w:t>
            </w:r>
            <w:r w:rsidRPr="00F1032B">
              <w:rPr>
                <w:rFonts w:ascii="Times New Roman" w:eastAsia="Times New Roman" w:hAnsi="Times New Roman" w:cs="Times New Roman"/>
                <w:color w:val="000000"/>
                <w:sz w:val="26"/>
                <w:szCs w:val="26"/>
                <w:vertAlign w:val="subscript"/>
              </w:rPr>
              <w:t>2</w:t>
            </w:r>
            <w:r w:rsidRPr="00F1032B">
              <w:rPr>
                <w:rFonts w:ascii="Times New Roman" w:eastAsia="Times New Roman" w:hAnsi="Times New Roman" w:cs="Times New Roman"/>
                <w:color w:val="000000"/>
                <w:sz w:val="26"/>
                <w:szCs w:val="26"/>
              </w:rPr>
              <w:t> chiết nạp hóa lỏng, khí công nghiệp có công suất từ 3.000 tấn sản phẩm/năm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2.7.7.9</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phá dỡ tàu cũ, vệ sinh súc rửa tàu</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HẠ TẦNG KỸ THUẬT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cấp nước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nước, công trình xử lý nước sạch</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thô hoặc nước sạch hoặc tăng áp (gồm cả trạm bơm và bể chứa nếu trạm bơm đặt trên bể chứa)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thoát nước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điều hòa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mưa (gồm cả trạm bơm và bể chứa nếu trạm bơm đặt trên bể chứa)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xử lý nước thải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thải (gồm cả trạm bơm và bể chứa nếu trạm bơm đặt trên bể chứa)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xử lý bùn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Xây dựng mới hoặc cải tạo hệ thống thoát nước đô thị, thoát nước khu dân cư có chiều dài công trình từ 10 km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xử lý chất thải rắn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xử lý chất thải rắn thông thường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tái chế, xử lý chất thải rắn nguy hại có công suất từ 10 tấn/ngày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hạ tầng kỹ thuật viễn thông thụ động cấp III trở lên: Nhà, trạm viễn thông, cột ăng ten, cột treo cáp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Nhà tang lễ; cơ sở hỏa táng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Nhà để xe (ngầm và nổi), cống, bể, hào, hầm tuy nen kỹ thuật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Bãi đỗ xe ngầm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Bãi đỗ xe nổi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Cống, bể, hào, hầm tuy nen kỹ thuật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GIAO THÔNG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Đường bộ</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ô tô cao tốc mọi cấp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ô tô, đường trong đô thị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Bến phà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Bến xe; cơ sở đăng kiểm phương tiện giao thông đường bộ; trạm thu phí; trạm dừng nghỉ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Đường sắt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sắt mọi cấp: Đường sắt cao tốc, đường sắt tốc độ cao, đường sắt đô thị (đường sắt trên cao); đường sắt quốc gia; đường sắt chuyên dụng và đường sắt địa phương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Ga hành khách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Cầu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đường bộ</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 (đối với mỗi cấp tăng thêm cộng 0,1‰ phí bảo hiểm)</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bộ hành</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 (đối với mỗi cấp tăng thêm cộng 0,1 ‰ phí bảo hiểm)</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đường sắt</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 (đối với mỗi cấp tăng thêm cộng 0,1 ‰ phí bảo hiểm)</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phao</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 (đối với mỗi cấp tăng thêm cộng 0,1 ‰ phí bảo hiểm)</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4.4</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Hầm</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cấp III trở lên: hầm đường ô tô, hầm đường sắt, hầm cho người đi bộ</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tàu điện ngầm (Metro) mọi cấp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4.5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đường thủy nội địa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bến thủy nội địa (cho hành khách)</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thủy có bề rộng (B) và độ sâu (H) nước chạy tầu (bao gồm cả phao tiêu, công trình chính trị)</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4.6</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hàng hải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Bến cảng biển, bến phà (cho hành khách)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hàng hải khác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4.7</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hàng không</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ga hàng không; khu bay (bao gồm cả các công trình bảo đảm hoạt động bay)</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4.8</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Tuyến cáp treo và nhà ga</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Để vận chuyển người mọi cấp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Để vận chuyển hàng hóa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NÔNG NGHIỆP VÀ PHÁT TRIỂN NÔNG THÔN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thủy lợi</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cấp nước cấp 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chứa nước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5.1.3</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Đập ngăn nước và các công trình thủy lợi chịu áp khác cấp III trở lên</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5.2</w:t>
            </w:r>
          </w:p>
        </w:tc>
        <w:tc>
          <w:tcPr>
            <w:tcW w:w="28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đê điều mọi cấp</w:t>
            </w:r>
          </w:p>
        </w:tc>
        <w:tc>
          <w:tcPr>
            <w:tcW w:w="10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t>Ghi chú:</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 N là các ký hiệu về loại mức khấu trừ bảo hiểm quy định tại điểm b khoản 1 Mục I Phụ lục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Mức khấu trừ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Mức khấu trừ bảo hiểm công trình trong thời gian xây dựng áp dụng theo bảng sau hoặc bằng 5% giá trị tổn thất, tùy theo số nào lớn hơn:</w:t>
      </w:r>
    </w:p>
    <w:p w:rsidR="00F1032B" w:rsidRPr="00F1032B" w:rsidRDefault="00F1032B" w:rsidP="00F1032B">
      <w:pPr>
        <w:shd w:val="clear" w:color="auto" w:fill="FFFFFF"/>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Đơn vị: triệu đồng</w:t>
      </w:r>
    </w:p>
    <w:tbl>
      <w:tblPr>
        <w:tblW w:w="5000" w:type="pct"/>
        <w:tblCellSpacing w:w="0" w:type="dxa"/>
        <w:shd w:val="clear" w:color="auto" w:fill="FFFFFF"/>
        <w:tblCellMar>
          <w:left w:w="0" w:type="dxa"/>
          <w:right w:w="0" w:type="dxa"/>
        </w:tblCellMar>
        <w:tblLook w:val="04A0"/>
      </w:tblPr>
      <w:tblGrid>
        <w:gridCol w:w="1898"/>
        <w:gridCol w:w="1899"/>
        <w:gridCol w:w="1899"/>
        <w:gridCol w:w="1805"/>
        <w:gridCol w:w="1899"/>
      </w:tblGrid>
      <w:tr w:rsidR="00F1032B" w:rsidRPr="00F1032B" w:rsidTr="00F1032B">
        <w:trPr>
          <w:tblCellSpacing w:w="0" w:type="dxa"/>
        </w:trPr>
        <w:tc>
          <w:tcPr>
            <w:tcW w:w="1000"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Giá trị bảo hiểm</w:t>
            </w:r>
          </w:p>
        </w:tc>
        <w:tc>
          <w:tcPr>
            <w:tcW w:w="2000" w:type="pct"/>
            <w:gridSpan w:val="2"/>
            <w:tcBorders>
              <w:top w:val="single" w:sz="8" w:space="0" w:color="auto"/>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loại "M"</w:t>
            </w:r>
          </w:p>
        </w:tc>
        <w:tc>
          <w:tcPr>
            <w:tcW w:w="1950" w:type="pct"/>
            <w:gridSpan w:val="2"/>
            <w:tcBorders>
              <w:top w:val="single" w:sz="8" w:space="0" w:color="auto"/>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loại "N"</w:t>
            </w:r>
          </w:p>
        </w:tc>
      </w:tr>
      <w:tr w:rsidR="00F1032B" w:rsidRPr="00F1032B" w:rsidTr="00F1032B">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10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Đối với rủi ro thiên tai</w:t>
            </w:r>
          </w:p>
        </w:tc>
        <w:tc>
          <w:tcPr>
            <w:tcW w:w="10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Đối với rủi ro khác</w:t>
            </w:r>
          </w:p>
        </w:tc>
        <w:tc>
          <w:tcPr>
            <w:tcW w:w="9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Đối với rủi ro thiên tai</w:t>
            </w:r>
          </w:p>
        </w:tc>
        <w:tc>
          <w:tcPr>
            <w:tcW w:w="10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Đối với rủi ro khác</w:t>
            </w:r>
          </w:p>
        </w:tc>
      </w:tr>
      <w:tr w:rsidR="00F1032B" w:rsidRPr="00F1032B" w:rsidTr="00F1032B">
        <w:trPr>
          <w:tblCellSpacing w:w="0" w:type="dxa"/>
        </w:trPr>
        <w:tc>
          <w:tcPr>
            <w:tcW w:w="1000" w:type="pct"/>
            <w:tcBorders>
              <w:top w:val="nil"/>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10.000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95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1000" w:type="pct"/>
            <w:tcBorders>
              <w:top w:val="nil"/>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20.000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95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1000" w:type="pct"/>
            <w:tcBorders>
              <w:top w:val="nil"/>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100.000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c>
          <w:tcPr>
            <w:tcW w:w="95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r>
      <w:tr w:rsidR="00F1032B" w:rsidRPr="00F1032B" w:rsidTr="00F1032B">
        <w:trPr>
          <w:tblCellSpacing w:w="0" w:type="dxa"/>
        </w:trPr>
        <w:tc>
          <w:tcPr>
            <w:tcW w:w="1000" w:type="pct"/>
            <w:tcBorders>
              <w:top w:val="nil"/>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600.000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c>
          <w:tcPr>
            <w:tcW w:w="95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150</w:t>
            </w:r>
          </w:p>
        </w:tc>
      </w:tr>
      <w:tr w:rsidR="00F1032B" w:rsidRPr="00F1032B" w:rsidTr="00F1032B">
        <w:trPr>
          <w:tblCellSpacing w:w="0" w:type="dxa"/>
        </w:trPr>
        <w:tc>
          <w:tcPr>
            <w:tcW w:w="1000" w:type="pct"/>
            <w:tcBorders>
              <w:top w:val="nil"/>
              <w:left w:val="single" w:sz="8" w:space="0" w:color="auto"/>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700.000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95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700</w:t>
            </w:r>
          </w:p>
        </w:tc>
        <w:tc>
          <w:tcPr>
            <w:tcW w:w="1000" w:type="pct"/>
            <w:tcBorders>
              <w:top w:val="nil"/>
              <w:left w:val="nil"/>
              <w:bottom w:val="nil"/>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200</w:t>
            </w:r>
          </w:p>
        </w:tc>
      </w:tr>
      <w:tr w:rsidR="00F1032B" w:rsidRPr="00F1032B" w:rsidTr="00F1032B">
        <w:trPr>
          <w:tblCellSpacing w:w="0" w:type="dxa"/>
        </w:trPr>
        <w:tc>
          <w:tcPr>
            <w:tcW w:w="10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1.000.000</w:t>
            </w:r>
          </w:p>
        </w:tc>
        <w:tc>
          <w:tcPr>
            <w:tcW w:w="10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700</w:t>
            </w:r>
          </w:p>
        </w:tc>
        <w:tc>
          <w:tcPr>
            <w:tcW w:w="10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200</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1.000</w:t>
            </w:r>
          </w:p>
        </w:tc>
        <w:tc>
          <w:tcPr>
            <w:tcW w:w="10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400</w:t>
            </w:r>
          </w:p>
        </w:tc>
      </w:tr>
    </w:tbl>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công trình xây dựng có giá trị từ 1.000 tỷ đồng trở lên quy định tại khoản 1 Mục I Phụ lục này: Thực hiện theo quy định tại </w:t>
      </w:r>
      <w:bookmarkStart w:id="185" w:name="tc_40"/>
      <w:r w:rsidRPr="00F1032B">
        <w:rPr>
          <w:rFonts w:ascii="Times New Roman" w:eastAsia="Times New Roman" w:hAnsi="Times New Roman" w:cs="Times New Roman"/>
          <w:color w:val="0000FF"/>
          <w:sz w:val="26"/>
          <w:szCs w:val="26"/>
        </w:rPr>
        <w:t>điểm c khoản 1 Điều 37 Nghị định này</w:t>
      </w:r>
      <w:bookmarkEnd w:id="185"/>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Đối với công trình xây dựng chưa được quy định tại khoản 1, khoản 2 Mục I Phụ lục này: Thực hiện theo quy định tại </w:t>
      </w:r>
      <w:bookmarkStart w:id="186" w:name="tc_41"/>
      <w:r w:rsidRPr="00F1032B">
        <w:rPr>
          <w:rFonts w:ascii="Times New Roman" w:eastAsia="Times New Roman" w:hAnsi="Times New Roman" w:cs="Times New Roman"/>
          <w:color w:val="0000FF"/>
          <w:sz w:val="26"/>
          <w:szCs w:val="26"/>
        </w:rPr>
        <w:t>điểm d khoản 1 Điều 37 Nghị định này</w:t>
      </w:r>
      <w:bookmarkEnd w:id="186"/>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bookmarkStart w:id="187" w:name="chuong_2_3"/>
      <w:r w:rsidRPr="00F1032B">
        <w:rPr>
          <w:rFonts w:ascii="Times New Roman" w:eastAsia="Times New Roman" w:hAnsi="Times New Roman" w:cs="Times New Roman"/>
          <w:b/>
          <w:bCs/>
          <w:color w:val="000000"/>
          <w:sz w:val="26"/>
          <w:szCs w:val="26"/>
        </w:rPr>
        <w:t>II. ĐỐI VỚI CÔNG TRÌNH XÂY DỰNG ĐƯỢC BẢO HIỂM CÓ BAO GỒM CÔNG VIỆC LẮP ĐẶT VÀ CHI PHÍ THỰC HIỆN PHẦN CÔNG VIỆC LẮP ĐẶT CHIẾM TỪ 50% TRỞ LÊN TỔNG GIÁ TRỊ HẠNG MỤC CÔNG TRÌNH XÂY DỰNG ĐƯỢC BẢO HIỂM</w:t>
      </w:r>
      <w:bookmarkEnd w:id="18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công trình xây dựng có giá trị dưới 1.000 tỷ đồng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Mức phí bảo hiểm (Chưa bao gồm thuế GTGT):</w:t>
      </w:r>
    </w:p>
    <w:tbl>
      <w:tblPr>
        <w:tblW w:w="5000" w:type="pct"/>
        <w:tblCellSpacing w:w="0" w:type="dxa"/>
        <w:shd w:val="clear" w:color="auto" w:fill="FFFFFF"/>
        <w:tblCellMar>
          <w:left w:w="0" w:type="dxa"/>
          <w:right w:w="0" w:type="dxa"/>
        </w:tblCellMar>
        <w:tblLook w:val="04A0"/>
      </w:tblPr>
      <w:tblGrid>
        <w:gridCol w:w="1056"/>
        <w:gridCol w:w="5563"/>
        <w:gridCol w:w="1726"/>
        <w:gridCol w:w="1055"/>
      </w:tblGrid>
      <w:tr w:rsidR="00F1032B" w:rsidRPr="00F1032B" w:rsidTr="00F1032B">
        <w:trPr>
          <w:tblCellSpacing w:w="0" w:type="dxa"/>
        </w:trPr>
        <w:tc>
          <w:tcPr>
            <w:tcW w:w="55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Mã hiệu</w:t>
            </w:r>
          </w:p>
        </w:tc>
        <w:tc>
          <w:tcPr>
            <w:tcW w:w="29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Hạng mục công trình, loại thiết bị lắp đặt vào công trình</w:t>
            </w:r>
          </w:p>
        </w:tc>
        <w:tc>
          <w:tcPr>
            <w:tcW w:w="9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 theo giá trị hạng mục công trình, loại thiết bị lắp đặt vào công trình)</w:t>
            </w:r>
          </w:p>
        </w:tc>
        <w:tc>
          <w:tcPr>
            <w:tcW w:w="5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khấu trừ (loại)</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DÂN DỤNG</w:t>
            </w:r>
          </w:p>
        </w:tc>
        <w:tc>
          <w:tcPr>
            <w:tcW w:w="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Nhà ở: Các tòa nhà chung cư, nhà ở tập thể khác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Công trình công cộng:</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giáo dục, đào tạo, nghiên cứu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y tế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thể thao: Sân vận động; nhà thi đấu (các môn thể thao); bể bơi; sân thi đấu các môn thể thao có khán đài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văn hóa: Trung tâm hội nghị, nhà hát, nhà văn hóa, câu lạc bộ, rạp chiếu phim, rạp xiếc, vũ trường; các công trình di tích; bảo tàng, thư viện, triển lãm, nhà trưng bày; tượng đài ngoài trời; công trình vui chơi giải trí; công trình văn hóa tập trung đông người và các công trình khác có chức năng tương đương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thương mại: Trung lâm thương mại, siêu thị cấp III trở lên; nhà hàng, cửa hàng ăn uống, giải khát và các cơ sở tương tự cấp 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dịch vụ: Khách sạn, nhà khách, nhà nghỉ; khu nghỉ dưỡng; biệt thự lưu trú; căn hộ lưu trú và các cơ sở tương tự; bưu điện, bưu cục, cơ sở cung cấp dịch vụ bưu chính, viễn thông khác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trụ sở, văn phòng làm việc: Các tòa nhà sử dụng làm trụ sở, văn phòng làm việc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Các công trình đa năng hoặc hỗn hợp: Các tòa nhà, kết cấu khác sử dụng đa năng hoặc hỗn hợp khác cấp III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Công trình phục vụ dân sinh khác: Các tòa nhà hoặc kết cấu khác được xây dựng phục vụ dân sinh cấp II trở lên</w:t>
            </w:r>
          </w:p>
        </w:tc>
        <w:tc>
          <w:tcPr>
            <w:tcW w:w="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55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Lắp đặt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sưởi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điều hoà không khí</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Thang máy nâng và thang máy cuốn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bếp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y tế</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khử trùng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làm lạnh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ánh sáng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Rạp chiếu phim, phòng quay truyền hình, quay phim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Cáp treo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NGHIỆP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sản xuất vật liệu, sản phẩm xây dựng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Ngành vật liệu xây dựng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xi-măng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bê tông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gạch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clinke</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ngói, tấm lợp fibro xi-măng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gạch ốp lát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luyện kim và cơ khí chế tạo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Sắt và thép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2 2.1.1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kim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gang (sản xuất gang thỏi)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phôi thép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thép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2.2.1.5</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thép - cán nóng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thép - cán nguội (Thép tấm cỡ mỏng)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đúc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kim loại không chứa sắt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kim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luyện nhôm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nóng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cán nguội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Xưởng đúc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sản xuất kim loại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khai thác mỏ và chế biến khoáng sản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khai thác mỏ lộ thiên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khai thác than lộ thiên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khai thác quặng lộ thiên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nạo vét hạng nặng trong khai thác mỏ lộ thiên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chế biến quặng kim loại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2.3.6</w:t>
            </w:r>
          </w:p>
        </w:tc>
        <w:tc>
          <w:tcPr>
            <w:tcW w:w="2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dầu khí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Nhà máy lọc dầu, chế biến khí; nhà máy lọc hóa dầu (trừ các dự án chiết nạp LPG, pha chế dầu nhờn), sản xuất sản phẩm hóa dầu, dung dịch khoan, hóa phẩm dầu khí; tuyến đường ống dẫn dầu, khí; khu trung </w:t>
            </w:r>
            <w:r w:rsidRPr="00F1032B">
              <w:rPr>
                <w:rFonts w:ascii="Times New Roman" w:eastAsia="Times New Roman" w:hAnsi="Times New Roman" w:cs="Times New Roman"/>
                <w:color w:val="000000"/>
                <w:sz w:val="26"/>
                <w:szCs w:val="26"/>
              </w:rPr>
              <w:lastRenderedPageBreak/>
              <w:t>chuyển dầu, khí</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2.4.2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Kho xăng dầu, cửa hàng kinh doanh xăng dầu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2.5</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năng lượng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nhiệt điện - than đá, dầu, than non (nhiệt độ hơi tới 540°C)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 MW một 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50 MW một 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150 MW một 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300 MW một 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Turbin hơi nước (nhiệt độ hơi tới 540</w:t>
            </w:r>
            <w:r w:rsidRPr="00F1032B">
              <w:rPr>
                <w:rFonts w:ascii="Times New Roman" w:eastAsia="Times New Roman" w:hAnsi="Times New Roman" w:cs="Times New Roman"/>
                <w:color w:val="000000"/>
                <w:sz w:val="26"/>
                <w:szCs w:val="26"/>
                <w:vertAlign w:val="superscript"/>
              </w:rPr>
              <w:t>o</w:t>
            </w:r>
            <w:r w:rsidRPr="00F1032B">
              <w:rPr>
                <w:rFonts w:ascii="Times New Roman" w:eastAsia="Times New Roman" w:hAnsi="Times New Roman" w:cs="Times New Roman"/>
                <w:color w:val="000000"/>
                <w:sz w:val="26"/>
                <w:szCs w:val="26"/>
              </w:rPr>
              <w:t>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50 MW</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150 MW</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300 MW</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Máy phát trong nhà máy nhiệt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180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400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Nồi hơi bao gồm cả phụ kiện thông thường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Nồi hơi dạng ống (nhiệt độ hơi tới 540°C)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50 tấn/giờ</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200 tấn/giờ</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1.000 tấn/giờ</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loại nồi hơi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2.5.6.1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75 tấn/giờ</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2.5.6.2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150 tấn/giờ</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Nồi hơi cấp nhiệt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Ống dẫn hơi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2.5.9</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điện Diezen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2.5.9.1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5.000 KW/máy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2.5.9.2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10.000 KW/máy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2.5.10</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Máy phát trong nhà máy điện Diezen tới 12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Động cơ Diezen trong nhà máy điện Diezen tới 5.000 KW</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Lắp đặt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Tháo dỡ</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phân phối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100KV</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100 KV</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Máy biến thế</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50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100 M 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250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2.5.13.5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400 MVA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điện dùng tua-bin khí công nghiệp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2.5.14.1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40 MW/máy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2.5.14.2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Tới 60 MW/máy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2.5.15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Cải tạo và xây dựng mới lưới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Sản xuất, gia công các thiết bị điện tử, linh kiện điện, điện tử; thiết bị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2.5.17</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phong điện, thủy điện, quang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hóa chất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phân bón, thuốc bảo vệ thực vật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phân bón - loại thông thường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thuốc bảo vệ thực vật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hóa chất, dược phẩm, mỹ phẩm, nhựa, chất dẻo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vật dụng bằng chất dẻo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hóa mỹ phẩm, dược phẩm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sơn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thuốc thú 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2.6.2.5</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sản phẩm nhựa, hạt nhựa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chất tẩy rửa, phụ gia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thuốc phóng, thuốc nổ, hỏa cụ</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thuốc nổ công nghiệp; kho chứa thuốc nổ, kho chứa hóa chất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2.6.2.9</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muối từ nước biển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hóa chất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2.7</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nghiệp nhẹ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chế biến thực phẩm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lương thực, thực phẩm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giết mổ gia súc, gia cầm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thủy sản, bột cá, các phụ phẩm thủy sản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đường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cồn, rượu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bia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nước giải khát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bột ngọt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2.7.1.9</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chế biến sữa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2.7.1.10</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sản xuất dầu ăn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bánh, kẹo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nước lọc, nước tinh khiết đóng chai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2.7.1.13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thực phẩm và chế biến thức ăn gia súc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chế biến nông sản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thuốc lá điếu, chế biến nguyên liệu thuốc lá</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chế biến nông sản, tinh bột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chè, hạt điều, ca cao, cà phê, hạt tiêu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chế biến gỗ, sản xuất thủy tinh, gốm sứ</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chế biến gỗ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gỗ dán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ván ép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2.7.3.4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đồ dùng gia đình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cưa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bóng đèn, phích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gốm, sứ</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2.7.3.8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thủy tinh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giấy và văn phòng phẩm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giấy và bao bì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bột giấy và giấy từ nguyên liệu thô</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chế biến bột giấy và giấy từ nguyên liệu thô</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giấy và bao bì</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gia công giấy và bao bì</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2.7.4.6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văn phòng phẩm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về dệt nhuộm và may mặc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dệt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2.1.5.2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sợi tơ tằm, sợi bông, sợi nhân tạo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dệt không nhuộm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giặt là công nghiệp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nhuộm, tẩy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sấy khô</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dệt có nhuộm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2.7.5.8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và gia công các sản phẩm dệt, may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và chế biến thức ăn chăn nuôi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2.7.6.1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nghiệp chế biến thức ăn chăn nuôi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thức ăn chăn nuôi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gia súc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gia cầm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chăn nuôi, chăm sóc động vật hoang dã</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nuôi trồng thủy sản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2.7.6.7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nuôi quảng canh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công nghiệp nhẹ khác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chế biến cao su, mủ cao su, nhà máy sản xuất săm lốp cao su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các sản phẩm trang thiết bị y tế từ nhựa và cao su y tế</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giầy dép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sản xuất mực in, vật liệu ngành in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ắc quy, pin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thuộc da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2.7.7.7</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sản xuất gas CO</w:t>
            </w:r>
            <w:r w:rsidRPr="00F1032B">
              <w:rPr>
                <w:rFonts w:ascii="Times New Roman" w:eastAsia="Times New Roman" w:hAnsi="Times New Roman" w:cs="Times New Roman"/>
                <w:color w:val="000000"/>
                <w:sz w:val="26"/>
                <w:szCs w:val="26"/>
                <w:vertAlign w:val="subscript"/>
              </w:rPr>
              <w:t>2</w:t>
            </w:r>
            <w:r w:rsidRPr="00F1032B">
              <w:rPr>
                <w:rFonts w:ascii="Times New Roman" w:eastAsia="Times New Roman" w:hAnsi="Times New Roman" w:cs="Times New Roman"/>
                <w:color w:val="000000"/>
                <w:sz w:val="26"/>
                <w:szCs w:val="26"/>
              </w:rPr>
              <w:t> chiết nạp hóa lỏng, khí công nghiệp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phá dỡ tàu cũ, vệ sinh súc rửa tàu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HẠ TẦNG KỸ THUẬT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cấp nước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Xử lý cấp nước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máy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xử lý nước sạch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3.1.4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phân phối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thô hoặc nước sạch hoặc tăng áp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thoát nước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Hô điều hòa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mưa</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xử lý nước thải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Trạm bơm nước thải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xử lý bùn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Xử lý thoát nước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thoát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3.2.8</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chứa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3.2.9</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Cải tạo hệ thống thoát nước đô thị, thoát nước khu dân cư</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xử lý chất thải rắn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xử lý chất thải rắn thông thường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Cơ sở tái chế, xử lý chất thải nguy hại; cơ sở tái chế, xử lý chất thải rắn nguy hại có công suất từ 10 tấn/ngày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hạ tầng kỹ thuật viễn thông thụ động cấp III trở lên: nhà, trạm viễn thông, cột ăng ten, cột treo cáp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thông tin nói chung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đài điện thoại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Cáp thông tin (bao gồm công việc đào đất)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Cáp thông tin (loại trừ công việc đào đất)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3.4.5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Thiết bị Radio và TV</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Tháp thu, phát sóng viễn thông, truyền thanh, truyền hình, cột BTS</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Nhà tang lễ; cơ sở hỏa táng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Nhà để xe (ngầm và nổi), cống, bể, hào, hầm tuy nen kỹ thuật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Bãi đỗ xe ngầm</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Bãi đỗ xe nổi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Cống, bể, hào, hầm tuy nen kỹ thuật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GIAO THÔNG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Đường bộ: đường ô tô cao tốc mọi cấp; đường ô tô, đường trong đô thị cấp III trở lên; bến phà cấp III trở lên; bến xe, cơ sở đăng kiểm, phương tiện giao thông đường bộ, trạm thu phí, trạm dừng nghỉ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Băng chuyền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Băng tải (trừ trong công nghiệp mỏ)</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xe cáp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xe điện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Đường sắt mọi cấp: đường sắt cao tốc, đường sắt tốc độ cao, đường sắt đô thị (đường sắt trên cao), đường sắt quốc gia, đường sắt chuyên dụng và đường sắt địa phương; ga hành khách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xe lửa một đường ray (treo trên cao)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Lắp ráp toa xe và đầu máy của hệ thống xe lửa một đường ray (treo trên cao)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Xây dựng hệ thống xe lửa một đường ray (treo trên </w:t>
            </w:r>
            <w:r w:rsidRPr="00F1032B">
              <w:rPr>
                <w:rFonts w:ascii="Times New Roman" w:eastAsia="Times New Roman" w:hAnsi="Times New Roman" w:cs="Times New Roman"/>
                <w:color w:val="000000"/>
                <w:sz w:val="26"/>
                <w:szCs w:val="26"/>
              </w:rPr>
              <w:lastRenderedPageBreak/>
              <w:t>cao)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4.2.4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Hệ thống xe lửa 2 đường ray (trừ đường tàu điện 0140 và đường tàu điện ngầm 0150)</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Lắp đặt toa xe và đầu máy của hệ thống xe lửa 2 đường ray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4.2.6</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Xây dựng đường xe lửa 2 đường ray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4.2.7</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sắt bánh răng</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Cầu: cầu đường bộ, cầu bộ hành, cầu đường sắt, cầu phao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đường bộ</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bộ hành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4.3.3</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đường sắt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4.3.4</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Cầu phao</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Hầm: hầm đường ô tô, hầm đường sắt, hầm cho người đi bộ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qua nước</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Hầm qua đất</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đường thủy nội địa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bến thủy nội địa (cho hành khách)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sông tiếp nhận tàu</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Đường thủy có bề rộng (B) và độ sâu (H), nước chạy tàu (bao gồm cả phao tiêu, công trình chính trị)</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4.6</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hàng hải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Bến/cảng biển, bến phà (cho hành khách)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hàng hải khác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4.7</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hàng không mọi cấp: nhà ga hàng không; khu bay (bao gồm cả các công trình đảm bảo hoạt động bay)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Lắp đặt các thiết bị, máy móc ở sân bay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Lắp ráp máy bay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Cảng hàng không, sân bay (đường cất, hạ cánh, nhà ga hàng hóa, nhà ga hành khách)</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4.7.4</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Các công trình khác thuộc khu bay</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NÔNG NGHIỆP VÀ PHÁT TRIỂN NÔNG THÔN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5.1</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thủy lợi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cấp nước cấp 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Hồ chứa nước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5.1.3</w:t>
            </w:r>
          </w:p>
        </w:tc>
        <w:tc>
          <w:tcPr>
            <w:tcW w:w="2900" w:type="pct"/>
            <w:tcBorders>
              <w:top w:val="nil"/>
              <w:left w:val="nil"/>
              <w:bottom w:val="single" w:sz="8" w:space="0" w:color="auto"/>
              <w:right w:val="single" w:sz="8" w:space="0" w:color="auto"/>
            </w:tcBorders>
            <w:shd w:val="clear" w:color="auto" w:fill="FFFFFF"/>
            <w:vAlign w:val="bottom"/>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Đập ngăn nước và các công trình thủy lợi chịu áp khác cấp III trở lên</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r w:rsidR="00F1032B" w:rsidRPr="00F1032B" w:rsidTr="00F1032B">
        <w:trPr>
          <w:tblCellSpacing w:w="0" w:type="dxa"/>
        </w:trPr>
        <w:tc>
          <w:tcPr>
            <w:tcW w:w="5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5.2</w:t>
            </w:r>
          </w:p>
        </w:tc>
        <w:tc>
          <w:tcPr>
            <w:tcW w:w="29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đê điều mọi cấp</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t>Ghi chú:</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 N là các ký hiệu quy định về loại mức khấu trừ bảo hiểm quy định tại điểm b khoản 1 Mục II Phụ lục này.</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Mức khấu trừ bảo hiểm: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Mức khấu trừ bảo hiểm đối với công trình quy định tại khoản 1 Mục II Phụ lục này áp dụng theo quy định tại điểm b khoản 1 Mục I Phụ lục này.</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Đối với công trình xây dựng có giá trị từ 1.000 tỷ đồng trở lên quy định tại khoản 1 Mục II Phụ lục này: Thực hiện theo quy định tại </w:t>
      </w:r>
      <w:bookmarkStart w:id="188" w:name="tc_42"/>
      <w:r w:rsidRPr="00F1032B">
        <w:rPr>
          <w:rFonts w:ascii="Times New Roman" w:eastAsia="Times New Roman" w:hAnsi="Times New Roman" w:cs="Times New Roman"/>
          <w:color w:val="0000FF"/>
          <w:sz w:val="26"/>
          <w:szCs w:val="26"/>
        </w:rPr>
        <w:t>điểm c khoản 1 Điều 37 Nghị định này</w:t>
      </w:r>
      <w:bookmarkEnd w:id="188"/>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Đối với công trình xây dựng chưa được quy định tại khoản 1, khoản 2 Mục II Phụ lục này: Thực hiện theo quy định tại </w:t>
      </w:r>
      <w:bookmarkStart w:id="189" w:name="tc_43"/>
      <w:r w:rsidRPr="00F1032B">
        <w:rPr>
          <w:rFonts w:ascii="Times New Roman" w:eastAsia="Times New Roman" w:hAnsi="Times New Roman" w:cs="Times New Roman"/>
          <w:color w:val="0000FF"/>
          <w:sz w:val="26"/>
          <w:szCs w:val="26"/>
        </w:rPr>
        <w:t>điểm d khoản 1 Điều 37 Nghị định này</w:t>
      </w:r>
      <w:bookmarkEnd w:id="189"/>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0" w:name="chuong_pl_4"/>
      <w:r w:rsidRPr="00F1032B">
        <w:rPr>
          <w:rFonts w:ascii="Times New Roman" w:eastAsia="Times New Roman" w:hAnsi="Times New Roman" w:cs="Times New Roman"/>
          <w:b/>
          <w:bCs/>
          <w:color w:val="000000"/>
          <w:sz w:val="26"/>
          <w:szCs w:val="26"/>
        </w:rPr>
        <w:t>PHỤ LỤC IV</w:t>
      </w:r>
      <w:bookmarkEnd w:id="190"/>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1" w:name="chuong_pl_4_name"/>
      <w:r w:rsidRPr="00F1032B">
        <w:rPr>
          <w:rFonts w:ascii="Times New Roman" w:eastAsia="Times New Roman" w:hAnsi="Times New Roman" w:cs="Times New Roman"/>
          <w:color w:val="000000"/>
          <w:sz w:val="26"/>
          <w:szCs w:val="26"/>
        </w:rPr>
        <w:lastRenderedPageBreak/>
        <w:t>MỨC PHÍ BẢO HIỂM, MỨC KHẤU TRỪ BẢO HIỂM BẮT BUỘC TRÁCH NHIỆM NGHỀ NGHIỆP TƯ VẤN ĐẦU TƯ XÂY DỰNG</w:t>
      </w:r>
      <w:bookmarkEnd w:id="191"/>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Đối với các công trình xây dựng có giá trị dưới 1.000 tỷ đồng và không thuộc các loại công trình xây dựng đê, đập, cảng, bến cảng, cầu cảng, bến tàu, đập chắn sóng và các công trình thủy lợi; các công trình xây dựng sân bay, máy bay, vệ tinh, không gian; các công trình sửa chữa và đóng tàu; các công trình xây dựng năng lượng trên biển và dưới nước; các dự án xe lửa, xe điện, tàu tốc hành và dự án ngầm dưới đất, hầm mỏ:</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Mức phí bảo hiểm (Chưa bao gồm thuế GTGT):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Phí bảo hiểm đối với bảo hiểm bắt buộc trách nhiệm nghề nghiệp tư vấn đầu tư xây dựng được tính bằng tỷ lệ phần trăm (%) của giá trị hợp đồng tư vấn, cụ thể theo bảng sau:</w:t>
      </w:r>
    </w:p>
    <w:tbl>
      <w:tblPr>
        <w:tblW w:w="5000" w:type="pct"/>
        <w:tblCellSpacing w:w="0" w:type="dxa"/>
        <w:shd w:val="clear" w:color="auto" w:fill="FFFFFF"/>
        <w:tblCellMar>
          <w:left w:w="0" w:type="dxa"/>
          <w:right w:w="0" w:type="dxa"/>
        </w:tblCellMar>
        <w:tblLook w:val="04A0"/>
      </w:tblPr>
      <w:tblGrid>
        <w:gridCol w:w="3645"/>
        <w:gridCol w:w="1151"/>
        <w:gridCol w:w="1151"/>
        <w:gridCol w:w="1151"/>
        <w:gridCol w:w="1151"/>
        <w:gridCol w:w="1151"/>
      </w:tblGrid>
      <w:tr w:rsidR="00F1032B" w:rsidRPr="00F1032B" w:rsidTr="00F1032B">
        <w:trPr>
          <w:tblCellSpacing w:w="0" w:type="dxa"/>
        </w:trPr>
        <w:tc>
          <w:tcPr>
            <w:tcW w:w="190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Giá trị hợp đồng tư vấn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Giá trị công trình xây dựng</w:t>
            </w:r>
          </w:p>
        </w:tc>
        <w:tc>
          <w:tcPr>
            <w:tcW w:w="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Đến 10 tỷ đồng</w:t>
            </w:r>
          </w:p>
        </w:tc>
        <w:tc>
          <w:tcPr>
            <w:tcW w:w="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Trên 10 tỷ đồng đến 20 tỷ đồng</w:t>
            </w:r>
          </w:p>
        </w:tc>
        <w:tc>
          <w:tcPr>
            <w:tcW w:w="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Trên 20 tỷ đồng đền 40 tỷ đồng</w:t>
            </w:r>
          </w:p>
        </w:tc>
        <w:tc>
          <w:tcPr>
            <w:tcW w:w="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Trên 40 tỷ đồng đến 60 tỷ đồng</w:t>
            </w:r>
          </w:p>
        </w:tc>
        <w:tc>
          <w:tcPr>
            <w:tcW w:w="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Trên 60 tỷ đồng đến 80 tỷ đồng</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40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40 tỷ đồng đến 60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1,19%</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60 tỷ đồng đến 80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80 tỷ đồng đến 100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0,75%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0,95%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1,07%</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1,34%</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100 tỷ đồng đến 120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0,70%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0,88%</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0,99%</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120 tỷ đồng đến 160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0,94%</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160 tỷ đồng đến 200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0,76%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0,95%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1,07%</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200 tỷ đồng đến 400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0,51%</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0,76%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0,85%</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0,95%</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400 tỷ đồng đến 600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0,44%</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0,76%</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0,85%</w:t>
            </w:r>
          </w:p>
        </w:tc>
      </w:tr>
      <w:tr w:rsidR="00F1032B" w:rsidRPr="00F1032B" w:rsidTr="00F1032B">
        <w:trPr>
          <w:tblCellSpacing w:w="0" w:type="dxa"/>
        </w:trPr>
        <w:tc>
          <w:tcPr>
            <w:tcW w:w="19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Trên 600 tỷ đồng đến 1.000 tỷ đồng</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0,41%</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0,57%</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0,60%</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0,69%</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0,82%</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Mức khấu trừ:</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Mức khấu trừ bảo hiểm bắt buộc trách nhiệm nghề nghiệp tư vấn đầu tư xây dựng được tính bằng 1% giá trị hợp đồng tư vấn hoặc 100 triệu đồng, tùy theo số nào lớn hơn.</w:t>
      </w:r>
    </w:p>
    <w:p w:rsidR="00F1032B" w:rsidRPr="00F1032B" w:rsidRDefault="00F1032B" w:rsidP="00F1032B">
      <w:pPr>
        <w:shd w:val="clear" w:color="auto" w:fill="FFFFFF"/>
        <w:spacing w:after="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 Đối với các công trình xây dựng có giá trị từ 1.000 tỷ đồng trở lên hoặc giá trị hợp đồng tư vấn trên 80 tỷ đồng hoặc các công trình không áp dụng mức phí bảo hiểm theo quy định tại khoản 1 Phụ lục này: Thực hiện theo quy định tại </w:t>
      </w:r>
      <w:bookmarkStart w:id="192" w:name="tc_44"/>
      <w:r w:rsidRPr="00F1032B">
        <w:rPr>
          <w:rFonts w:ascii="Times New Roman" w:eastAsia="Times New Roman" w:hAnsi="Times New Roman" w:cs="Times New Roman"/>
          <w:color w:val="0000FF"/>
          <w:sz w:val="26"/>
          <w:szCs w:val="26"/>
        </w:rPr>
        <w:t>điểm b khoản 1 Điều 45 Nghị định này</w:t>
      </w:r>
      <w:bookmarkEnd w:id="192"/>
      <w:r w:rsidRPr="00F1032B">
        <w:rPr>
          <w:rFonts w:ascii="Times New Roman" w:eastAsia="Times New Roman" w:hAnsi="Times New Roman" w:cs="Times New Roman"/>
          <w:color w:val="000000"/>
          <w:sz w:val="26"/>
          <w:szCs w:val="26"/>
        </w:rPr>
        <w: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3" w:name="chuong_pl_5"/>
      <w:r w:rsidRPr="00F1032B">
        <w:rPr>
          <w:rFonts w:ascii="Times New Roman" w:eastAsia="Times New Roman" w:hAnsi="Times New Roman" w:cs="Times New Roman"/>
          <w:b/>
          <w:bCs/>
          <w:color w:val="000000"/>
          <w:sz w:val="26"/>
          <w:szCs w:val="26"/>
        </w:rPr>
        <w:t>PHỤ LỤC V</w:t>
      </w:r>
      <w:bookmarkEnd w:id="193"/>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4" w:name="chuong_pl_5_name"/>
      <w:r w:rsidRPr="00F1032B">
        <w:rPr>
          <w:rFonts w:ascii="Times New Roman" w:eastAsia="Times New Roman" w:hAnsi="Times New Roman" w:cs="Times New Roman"/>
          <w:color w:val="000000"/>
          <w:sz w:val="26"/>
          <w:szCs w:val="26"/>
        </w:rPr>
        <w:t>MỨC PHÍ BẢO HIỂM BẮT BUỘC ĐỐI VỚI NGƯỜI LAO ĐỘNG THI CÔNG TRÊN CÔNG TRƯỜNG</w:t>
      </w:r>
      <w:bookmarkEnd w:id="194"/>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Phí bảo hiểm cho thời hạn 1 năm (Chưa bao gồm thuế GTGT):</w:t>
      </w:r>
    </w:p>
    <w:tbl>
      <w:tblPr>
        <w:tblW w:w="5000" w:type="pct"/>
        <w:tblCellSpacing w:w="0" w:type="dxa"/>
        <w:shd w:val="clear" w:color="auto" w:fill="FFFFFF"/>
        <w:tblCellMar>
          <w:left w:w="0" w:type="dxa"/>
          <w:right w:w="0" w:type="dxa"/>
        </w:tblCellMar>
        <w:tblLook w:val="04A0"/>
      </w:tblPr>
      <w:tblGrid>
        <w:gridCol w:w="5223"/>
        <w:gridCol w:w="4177"/>
      </w:tblGrid>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Loại nghề nghiệp (*)</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Phi bảo hiểm/người</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color w:val="000000"/>
                <w:sz w:val="26"/>
                <w:szCs w:val="26"/>
              </w:rPr>
              <w:t>(Tỷ lệ % trên 100 triệu đồng)</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1</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0,6</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2</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0,8</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3</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27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4</w:t>
            </w:r>
          </w:p>
        </w:tc>
        <w:tc>
          <w:tcPr>
            <w:tcW w:w="2200"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Phí bảo hiểm ngắn hạn</w:t>
      </w:r>
    </w:p>
    <w:tbl>
      <w:tblPr>
        <w:tblW w:w="5000" w:type="pct"/>
        <w:tblCellSpacing w:w="0" w:type="dxa"/>
        <w:shd w:val="clear" w:color="auto" w:fill="FFFFFF"/>
        <w:tblCellMar>
          <w:left w:w="0" w:type="dxa"/>
          <w:right w:w="0" w:type="dxa"/>
        </w:tblCellMar>
        <w:tblLook w:val="04A0"/>
      </w:tblPr>
      <w:tblGrid>
        <w:gridCol w:w="5223"/>
        <w:gridCol w:w="4177"/>
      </w:tblGrid>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Thời hạn bảo hiểm</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hiểm/người</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color w:val="000000"/>
                <w:sz w:val="26"/>
                <w:szCs w:val="26"/>
              </w:rPr>
              <w:t>(Tỷ lệ % trên phí bảo hiểm năm)</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Đến 3 tháng</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trên 3 đến 6 tháng</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27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trên 6 đến 9 tháng</w:t>
            </w:r>
          </w:p>
        </w:tc>
        <w:tc>
          <w:tcPr>
            <w:tcW w:w="220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r>
      <w:tr w:rsidR="00F1032B" w:rsidRPr="00F1032B" w:rsidTr="00F1032B">
        <w:trPr>
          <w:tblCellSpacing w:w="0" w:type="dxa"/>
        </w:trPr>
        <w:tc>
          <w:tcPr>
            <w:tcW w:w="27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trên 9 đến 12 tháng</w:t>
            </w:r>
          </w:p>
        </w:tc>
        <w:tc>
          <w:tcPr>
            <w:tcW w:w="2200"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Phân loại nghề nghiệp: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1: Lao động gián tiếp, làm việc chủ yếu trong văn phòng, bản giấy hoặc những công việc tương tự ít đi lại khác. Ví dụ: kế toán, nhân viên hành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2: Nghề nghiệp không phải lao động chân tay nhưng có mức độ rủi ro lớn hơn loại 1, đòi hỏi phải đi lại nhiều hoặc bao gồm cả lao động chân tay nhưng không thường xuyên và lao động chân tay nhẹ. Ví dụ: kỹ sư dân dụng, cán bộ quản lý thường xuyên đến công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Loại 3: Những nghề mà công việc chủ yếu là lao động chân tay và những công việc có mức độ rủi ro cao hơn loại 2. Ví dụ: kỹ sư cơ khí, kỹ sư điện, công nhân làm việc trên công trường.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Loại 4: Những ngành nghề nguy hiểm, dễ xảy ra tai nạn và không được quy định ở ba loại nghề nghiệp trên.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5" w:name="chuong_pl_6"/>
      <w:r w:rsidRPr="00F1032B">
        <w:rPr>
          <w:rFonts w:ascii="Times New Roman" w:eastAsia="Times New Roman" w:hAnsi="Times New Roman" w:cs="Times New Roman"/>
          <w:b/>
          <w:bCs/>
          <w:color w:val="000000"/>
          <w:sz w:val="26"/>
          <w:szCs w:val="26"/>
        </w:rPr>
        <w:t>PHỤ LỤC VI</w:t>
      </w:r>
      <w:bookmarkEnd w:id="195"/>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6" w:name="chuong_pl_6_name"/>
      <w:r w:rsidRPr="00F1032B">
        <w:rPr>
          <w:rFonts w:ascii="Times New Roman" w:eastAsia="Times New Roman" w:hAnsi="Times New Roman" w:cs="Times New Roman"/>
          <w:color w:val="000000"/>
          <w:sz w:val="26"/>
          <w:szCs w:val="26"/>
        </w:rPr>
        <w:t>BẢNG QUY ĐỊNH TRẢ TIỀN BỒI THƯỜNG THIỆT HẠI VỀ SỨC KHỎE, TÍNH MẠNG</w:t>
      </w:r>
      <w:bookmarkEnd w:id="196"/>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A. CÁC TRƯỜNG HỢP ĐƯỢC GIẢI QUYẾT BỒI THƯỜNG 100% GIỚI HẠN TRÁCH NHIỆM BẢO HIỂM</w:t>
      </w:r>
    </w:p>
    <w:tbl>
      <w:tblPr>
        <w:tblW w:w="5000" w:type="pct"/>
        <w:tblCellSpacing w:w="0" w:type="dxa"/>
        <w:shd w:val="clear" w:color="auto" w:fill="FFFFFF"/>
        <w:tblCellMar>
          <w:left w:w="0" w:type="dxa"/>
          <w:right w:w="0" w:type="dxa"/>
        </w:tblCellMar>
        <w:tblLook w:val="04A0"/>
      </w:tblPr>
      <w:tblGrid>
        <w:gridCol w:w="9400"/>
      </w:tblGrid>
      <w:tr w:rsidR="00F1032B" w:rsidRPr="00F1032B" w:rsidTr="00F1032B">
        <w:trPr>
          <w:tblCellSpacing w:w="0" w:type="dxa"/>
        </w:trPr>
        <w:tc>
          <w:tcPr>
            <w:tcW w:w="5000" w:type="pct"/>
            <w:tcBorders>
              <w:top w:val="single" w:sz="8" w:space="0" w:color="auto"/>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Chết</w:t>
            </w:r>
          </w:p>
        </w:tc>
      </w:tr>
      <w:tr w:rsidR="00F1032B" w:rsidRPr="00F1032B" w:rsidTr="00F1032B">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 thương não gây di chứng sống kiểu thực vật</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 CÁC TRƯỜNG HỢP TỔN THƯƠNG BỘ PHẬN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tiền bồi thường = Tỷ lệ tổn thương x Giới hạn trách nhiệm bảo hiểm</w:t>
      </w:r>
    </w:p>
    <w:tbl>
      <w:tblPr>
        <w:tblW w:w="5000" w:type="pct"/>
        <w:tblCellSpacing w:w="0" w:type="dxa"/>
        <w:shd w:val="clear" w:color="auto" w:fill="FFFFFF"/>
        <w:tblCellMar>
          <w:left w:w="0" w:type="dxa"/>
          <w:right w:w="0" w:type="dxa"/>
        </w:tblCellMar>
        <w:tblLook w:val="04A0"/>
      </w:tblPr>
      <w:tblGrid>
        <w:gridCol w:w="8261"/>
        <w:gridCol w:w="1139"/>
      </w:tblGrid>
      <w:tr w:rsidR="00F1032B" w:rsidRPr="00F1032B" w:rsidTr="00F1032B">
        <w:trPr>
          <w:tblCellSpacing w:w="0" w:type="dxa"/>
        </w:trPr>
        <w:tc>
          <w:tcPr>
            <w:tcW w:w="4350" w:type="pct"/>
            <w:tcBorders>
              <w:top w:val="single" w:sz="8" w:space="0" w:color="auto"/>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 Tỷ lệ tổn thương cơ thể do tổn thương Xương sọ và hộ Thần kinh</w:t>
            </w:r>
          </w:p>
        </w:tc>
        <w:tc>
          <w:tcPr>
            <w:tcW w:w="600" w:type="pct"/>
            <w:tcBorders>
              <w:top w:val="single" w:sz="8" w:space="0" w:color="auto"/>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Tổn thương xương sọ</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Chạm sọ</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Mẻ sọ đường kính hoặc chiều dài chỗ mẻ dưới 3 cm,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Mẻ sọ đường kính hoặc chiều dài chỗ mẻ từ 3 cm trở lên,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Mất xương bản ngoài, diện tích dưới 3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Mất xương bản ngoài, diện tích từ 3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trở lên,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Khuyết sọ đáy chắc diện tích dưới 3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Khuyết sọ đáy chắc diện tích từ 3 đến 5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xml:space="preserve">, điện não có ổ tổn thương </w:t>
            </w:r>
            <w:r w:rsidRPr="00F1032B">
              <w:rPr>
                <w:rFonts w:ascii="Times New Roman" w:eastAsia="Times New Roman" w:hAnsi="Times New Roman" w:cs="Times New Roman"/>
                <w:color w:val="000000"/>
                <w:sz w:val="26"/>
                <w:szCs w:val="26"/>
              </w:rPr>
              <w:lastRenderedPageBreak/>
              <w:t>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1.8. Khuyết sọ đáy chắc diện tích từ 5 đến 10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 Khuyết sọ đáy chắc diện tích trên 10 cm</w:t>
            </w:r>
            <w:r w:rsidRPr="00F1032B">
              <w:rPr>
                <w:rFonts w:ascii="Times New Roman" w:eastAsia="Times New Roman" w:hAnsi="Times New Roman" w:cs="Times New Roman"/>
                <w:color w:val="000000"/>
                <w:sz w:val="26"/>
                <w:szCs w:val="26"/>
                <w:vertAlign w:val="superscript"/>
              </w:rPr>
              <w:t>2</w:t>
            </w:r>
            <w:r w:rsidRPr="00F1032B">
              <w:rPr>
                <w:rFonts w:ascii="Times New Roman" w:eastAsia="Times New Roman" w:hAnsi="Times New Roman" w:cs="Times New Roman"/>
                <w:color w:val="000000"/>
                <w:sz w:val="26"/>
                <w:szCs w:val="26"/>
              </w:rPr>
              <w:t>, điện não có ổ tổn thương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(Mục 1.1 đến 1.9) Nếu điện não không có ổ tổn thương lấy tỷ lệ tổn thương có kích thước nhỏ hơn liền kề</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 Khuyết sọ đáy phập phồng diện tích dưới 2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Khuyết sọ đáy phập phồng diện tích từ 2 đến 5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Khuyết sọ đáy phập phồng diện tích trên 5 đến 10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Khuyết sọ đáy phập phồng diện tích trên 10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 Máu tụ ngoài màng cứng và/hoặc dưới màng cứng đã xử lý không có di chứng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 Máu tụ ngoài màng cứng và/hoặc dưới màng cứng đã xử lý còn ổ dịch không có di chứng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Ổ khuyết não, ổ tổn thương não không có di chứng chức năng hệ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Ổ khuyết hoặc ổ tổn thương não kích thước dưới 2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Ổ khuyết hoặc ổ tổn thương não kích thước từ 2 đến 5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Ổ khuyết hoặc ổ tổn thương não kích thước trên 5 đến 10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Ổ khuyết hoặc ổ tổn thương não kích thước trên 10 cm</w:t>
            </w:r>
            <w:r w:rsidRPr="00F1032B">
              <w:rPr>
                <w:rFonts w:ascii="Times New Roman" w:eastAsia="Times New Roman" w:hAnsi="Times New Roman" w:cs="Times New Roman"/>
                <w:color w:val="000000"/>
                <w:sz w:val="26"/>
                <w:szCs w:val="26"/>
                <w:vertAlign w:val="super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Ổ khuyết hoặc ổ tổn thương não thông hoặc gây biến đổi hình thể não thất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56 - 60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Chấn thương - vết thương não gây rò động - tĩnh mạch không gây di chứng chức năng</w:t>
            </w:r>
            <w:r w:rsidRPr="00F1032B">
              <w:rPr>
                <w:rFonts w:ascii="Times New Roman" w:eastAsia="Times New Roman" w:hAnsi="Times New Roman" w:cs="Times New Roman"/>
                <w:color w:val="000000"/>
                <w:sz w:val="26"/>
                <w:szCs w:val="26"/>
              </w:rPr>
              <w:br/>
              <w:t>(Nếu gây di chứng chức năng tính theo tỷ lệ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Dị vật trong não (mảnh kim khí, xương vụn, nốt vôi hóa...) không có di chứng chức năng hệ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Một dị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3.2. Từ hai dị vật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Tổn thương não gây di chứng tổn thương chức năng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Tổn thương não gây di chứng sống kiểu thực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Liệt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 Liệt tứ chi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 Liệt tứ chi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81 - 85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4.2.3. Liệt tứ chi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91 - 95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4.2.4. Liệt hoàn toàn tứ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4.2.5. Liệt nửa người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4.2.6. Liệt nửa người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4.2.7. Liệt nửa người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4.2.8. Liệt hoàn toàn nửa người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4.2.9. Liệt hai tay hoặc hai chân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4.2.10. Liệt hai tay hoặc hai chân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4.2.11. Liệt hai tay hoặc hai chân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76 - 80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4.2.12. Liệt hoàn toàn hai tay hoặc hai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86 - 90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4.2.13. Liệt một tay hoặc một chân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4.2.14. Liệt một tay hoặc một chân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4.2.15. Liệt một tay hoặc một chân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4.2.16. Liệt hoàn toàn một tay hoặc một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Mục 4.2.9 đến 4.2.16: Liệt chi trên lấy tỷ lệ tối đa, liệt chi dưới lấy tỷ lệ tối thiểu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Rối loạn ngôn ngữ</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4.3.1. Mất vận động ngôn ngữ kiểu Broca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 Mất vận động ngôn ngữ kiểu Broca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4.3.3. Mất vận động ngôn ngữ kiểu Broca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4.3.4. Mất vận động ngôn ngữ kiểu Broca mức độ rất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4.3.5. Mất vận động ngôn ngữ kiểu Broca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4.3.6. Mất hiểu lời kiểu Wernicke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4.3.7. Mất hiểu lời kiểu Wernicke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4.3.8. Mất hiểu lời kiểu Wernicke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4.3.9. Mất hiểu lời kiểu Wernicke mức độ rất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4.3.10. Mất hiểu lời kiểu Wernicke mức độ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4.3.11. Mất đọc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4.3.12. Mất viết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 Quên (không chú ý) sử dụng nửa người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 Tổn thương ngoại tháp</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(Tỷ lệ áp dụng riêng cho từng Hội chứng: Parkinson, Tiểu não, run)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81 - 85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 Mức độ rất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91 - 95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Tổn thương não gây di chứng chức năng cơ quan khác (thị lực, thính lực... tính theo tỷ lệ tổn thương của cơ quan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tủy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Tổn thương tủy toàn bộ kiểu khoanh đoạn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5.1.1. Tổn thương nón tủy không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 Tổn thương nón tủy toàn bộ (mất cảm giác vùng đáy chậu, rối loạn cơ tròn, không liệt hai chi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5.1.3. Tổn thương tủy thắt lưng toàn bộ kiểu khoanh đoạn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5.1.4. Tổn thương tủy ngực toàn bộ kiểu khoanh đoạn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5.1.5. Tổn thương tủy cổ toàn bộ kiểu khoanh đoạn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5.1.6. Tổn thương nửa tủy toàn bộ (hội chứng Brown-Sequard, tủy cổ C4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Tổn thương tủy gây liệt đơn thuần: Tỷ lệ tính theo Mục 4.2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 Tổn thương tủy gây mất cảm giác kiểu đường dẫn truyền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5.3.1. Tổn thương tủy gây giảm cảm giác (nông hoặc sâu) một bên từ ngực trở xuống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5.3.2. Tổn thương tủy gây mất hoàn toàn cảm giác (nông hoặc sâu) một bên từ ngực trở xuống (dưới khoanh đoạn ngực T5)</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5.3.3. Tổn thương tủy gây giảm cảm giác (nông hoặc sâu) nửa người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5.3.4. Tổn thương tủy gây mất hoàn toàn cảm giác (nông hoặc sâu) nửa người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Tổn thương rễ, đám rối, dây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Tổn thương rễ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6.1.1. Tổn thương không hoàn toàn một rễ (trừ các rễ C4, C5, C6, C7, C8, T1, L5, S1)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 Tổn thương hoàn toàn một rễ (trừ các rễ C4, C5, C6, C7, C8, T1, L5, S1)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6.1.3. Tổn thương không hoàn toàn một trong các rễ: C4, C5, C6, C7, C8, T1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6.1.4. Tổn thương hoàn toàn một trong các rễ: C4, C5, C6, C7, C8, T1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6.1.5. Tổn thương không hoàn toàn một trong các rễ: L5, S1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6.1.6. Tổn thương hoàn toàn một trong các rễ: L5, S1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6.1.7. Tổn thương không hoàn toàn đuôi ngựa (có rối loạn cơ tròn)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6.1.8. Tổn thương hoàn toàn đuôi ngựa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Tổn thương đám rối thần kinh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 Tổn thương không hoàn toàn đám rối thần kinh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6.2.2. Tổn thương hoàn toàn đám rối thần kinh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6.2.3. Tổn thương không hoàn toàn đám rối thần kinh cánh tay - tổn thương thân nhất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6.2.4. Tổn thương không hoàn toàn đám rối thần kinh cánh tay - tổn thương thân nhất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6.2.5. Tổn thương không hoàn toàn đám rối thần kinh cánh tay - tổn thương thân nhất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6.2.6. Tổn thương không hoàn toàn đám rối thần kinh cánh tay - tổn thương thân nhì trước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6.2.7. Tổn thương không hoàn toàn đám rối thần kinh cánh tay - tổn thương thân nhì trước ngoài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6.2.8. Tổn thương không hoàn toàn đám rối thần kinh cánh tay - tổn thương thân nhì sau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6.2.9. Tổn thương hoàn toàn đám rối thần kinh cánh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6.2.10. Tổn thương không hoàn toàn đám rối thắt lưng (có tổn thương thần kinh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6.2.11. Tổn thương hoàn toàn đám rối thắt lưng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6.2.12. Tổn thương không hoàn toàn đám rối cùng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6.2.13. Tổn thương hoàn toàn đám rối cùng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 Tổn thương dây thần kinh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6.3.1. Tổn thương không hoàn toàn các dây thần kinh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 Tổn thương hoàn toàn các dây thần kinh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 Tổn thương không hoàn toàn dây thần kinh trên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 Tổn thương hoàn toàn dây thần kinh trên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6.3.5. Tổn thương không hoàn toàn dây thần kinh dưới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6.3.6. Tổn thương hoàn toàn dây thần kinh dưới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6.3.7. Tổn thương không hoàn toàn dây thần kinh ngực dài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6.3.8. Tổn thương hoàn toàn dây thần kinh ngực dài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Mục 6.3.7 và 6.3.8 Nữ được tính tỷ lệ tối đa, Nam: tỷ lệ tối thiểu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6.3.9. Tổn thương một dây thần kinh liên sườn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6.3.10. Tổn thương không hoàn toàn thần kinh mũ</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6.3.11. Tổn thương hoàn toàn thần kinh mũ</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6.3.12. Tổn thương không hoàn toàn thần kinh cơ bì</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6.3.13. Tổn thương hoàn toàn thần kinh cơ bì</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6.3.14. Tổn thương nhánh thần kinh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6.3.15. Tổn thương bán phần thần kinh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6.3.16. Tổn thương hoàn toàn thần kinh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6.3.17. Tổn thương nhánh thần kinh trụ</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6.3.18. Tổn thương bán phần thần kinh trụ</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6.3.19. Tổn thương hoàn toàn thần kinh trụ</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6.3.20. Tổn thương nhánh thần kinh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6.3.21. Tổn thương bán phần thần kinh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6.3.22. Tổn thương hoàn toàn thần kinh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6.3.23. Tổn thương hoàn toàn thần kinh cánh tay bì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6.3.24. Tổn thương hoàn toàn thần kinh cẳng tay bì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6.3.25. Tổn thương không hoàn toàn thần kinh mông trên và mông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6.3.26. Tổn thương hoàn toàn thần kinh mông trên và mông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6.3.27. Tổn thương không hoàn toàn thần kinh da đùi sau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6.3.28. Tổn thương hoàn toàn thần kinh da đùi sau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6.3.29. Tổn thương nhánh thần kinh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6.3.30. Tổn thương bán phần thần kinh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6.3.31. Tổn thương hoàn toàn thần kinh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6.3.32. Tổn thương không hoàn toàn thần kinh đùi - bì</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6.3.33. Tổn thương hoàn toàn thần kinh đùi - bi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6.3.34. Tổn thương không hoàn toàn thần kinh bịt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6.3.35. Tổn thương hoàn toàn thần kinh bịt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6.3.36. Tổn thương không hoàn toàn thần kinh sinh dục -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6.3.37. Tổn thương hoàn toàn thần kinh sinh dục -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6.3.38. Tổn thương nhánh thần kinh hông to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6.3.39. Tổn thương bán phần thần kinh hông to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6.3.40. Tổn thương hoàn toàn thần kinh hông to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6.3.41. Tổn thương nhánh thần kinh hông khoeo ngoài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6.3.42. Tổn thương bán phần thần kinh hông khoeo ngoài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6.3.43. Tổn thương hoàn toàn thần kinh hông khoeo ngoài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6.3.44. Tổn thương nhánh thần kinh hông khoeo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6.3.45. Tổn thương bán phần thần kinh hông khoeo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6.3.46. Tổn thương hoàn toàn thần kinh hông khoeo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 Tổn thương thần kinh sọ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 Tổn thương không hoàn toàn dây thần kinh sọ số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 Tổn thương hoàn toàn dây thần kinh sọ số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6.4.3. Tổn thương dây thần kinh sọ số II: Áp dụng theo mức độ giảm thị lực trong Bảng tỷ lệ tổn thương cơ thể do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6.4.4. Tổn thương một nhánh thần kinh sọ số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6.4.5. Tổn thương bán phần thần kinh sọ số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6.4.6. Tổn thương hoàn toàn thần kinh sọ số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6.4.7. Tổn thương không hoàn toàn thần kinh sọ số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6.4.8. Tổn thương hoàn toàn thần kinh sọ số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6.4.9. Tổn thương một nhánh thần kinh sọ số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6.4.10. Tổn thương không hoàn toàn thần kinh sọ số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6.4.11. Tổn thương hoàn toàn thần kinh sọ số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6.4.12. Tổn thương không hoàn toàn thần kinh sọ số VI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6.4.13. Tổn thương hoàn toàn thần kinh sọ số VI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6.4.14. Tổn thương nhánh thần kinh sọ số VII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6.4.15. Tổn thương không hoàn toàn thần kinh sọ số VII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6.4.16. Tổn thương hoàn toàn thần kinh sọ số VII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6.4.17. Tổn thương thần kinh sọ số VIII một bên: Áp dụng tỷ lệ di chứng Hội chứng Tiền đình và/hoặc mất thính lực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6.4.18. Tổn thương không hoàn toàn thần kinh sọ số IX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6.4.19. Tổn thương hoàn toàn thần kinh sọ số IX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6.4.20. Tổn thương không hoàn toàn thần kinh sọ số X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6.4.21. Tổn thương hoàn toàn thần kinh sọ số X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6.4.22. Tổn thương không hoàn toàn thần kinh sọ số XI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6.4.23. Tổn thương hoàn toàn thần kinh sọ số XI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6.4.24. Tổn thương không hoàn toàn thần kinh sọ số XII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6.4.25. Tổn thương hoàn toàn thần kinh sọ số XII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 Tỷ lệ tổn thương cơ thể do tổn thương hệ Tim Mạch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Tổn thương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Vết thương tổn thương van tim, cơ tim, vách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Đã điều trị ổn định, chưa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Có biến chứng nội khoa (Loạn nhịp, suy tim, phình hoặc giả phình thất...)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1.1.2.1. Suy tim độ I hoặc các rối loạn nhịp tim điều trị nội khoa có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1.1.2.2. Suy tim độ 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1.1.2.3. Suy tim đô III hoặc rối loạn nhịp tim có chỉ định đặt máy tạo nhịp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1.1.2.4. Suy tim độ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Rối loạn nhịp tim sau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 Điều trị nội khoa kết quả tương đối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 Điều trị nội khoa không kết quả có chỉ định điều trị can thiệp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1.2.2.1.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1.2.2.2. Kết quả không tốt ảnh hưởng nhiều đến sinh hoạt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 Phải đặt máy tạo nhịp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Viêm màng ngoài tim co thắt, dày dính màng ngoài tim do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1.3.1. Điều trị nội khoa hoặc phẫu thuật đạt kết quả tương đối tốt (50% ≤ EF &lt; 60%)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1.3.2. Kết quả hạn chế (EF dưới 50%)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Dị vật màng ngoài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1.4.1. Chưa gây tai biến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1.4.2. Có tai biến phải phẫu thuật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1.4.2.1. Kết quả tốt (50% ≤ EF ≤ 60%)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1.4.2.2. Kết quả hạn chế (EF dưới 50%)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Dị vật cơ tim, vách tim, buồng tim, van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 Chưa gây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 Gây tai biến (tắc mạch, nhồi máu cơ tim, loạn nhịp tim ...)</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1.5.2.1. Kết quả điều trị ổn định từng đợt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1.5.2.2. Kết quả điều trị hạn chế, đe dọa tính mạng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Nếu các tổn thương ở Mục 1.2, 1.3, 1.4, 1.5 có suy tim thì áp dụng tỷ lệ mức độ suy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 thương Mạch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Phình động, tĩnh mạch chủ chủ ngực, chủ bụng, hoặc thông động - tĩnh mạch chủ</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 Chưa phẫu thuật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Có biến chứng và có chỉ định phẫu thuật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2.1.2.1.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2.1.2.2. Kết quả hạn chế có biến chứng một cơ quan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2.1.2.3. Có nhiều nguy cơ đe dọa tính mạng, có chỉ định mổ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2.1.2.4. Có nhiều nguy cơ đe dọa tính mạng, không cố chỉ định mổ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2.1.2.5. Nếu tổn thương như các Mục 2.1.2.2; 2.1.2.3; 2.1.2.4 mà gây tổn Thương tạng phải xử lý hoặc liệt hai chi thì khi tính tỷ lệ sẽ cộng thêm (cộng lùi) các tỷ lệ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2.2. Vết thương mạch máu lớn (Động mạch cành, động mạch cánh tay, động mạch chậu, động mạch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Ở các chi, đã xử lý</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2.2.1.1. Kết quả tốt không có biểu hiện tắc mạch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2.2.1.2. Kết quả tương đối tốt có thiếu dưỡng nhẹ các cơ do động mạch chi phối một đến hai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2.2.1.3. Kết quả tương đối tốt có thiểu dưỡng nhẹ các cơ do động mạch chi phối từ ba chi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2.2.1.4. Kết quả hạn chế có biểu hiện teo cơ một đến hai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2.2.1.5. Kết quả hạn chế có biểu hiện teo cơ từ ba chi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2.2.1.6. Kết quả xấu phải xử trí cắt cụt chi thì tính tỷ lệ phần chi cắt cụt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Vết thương động mạch cành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2.2.2.1. Chưa có rối loạn về huyết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2.2.2.2. Có rối loạn về huyết động còn bù trừ</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2.2.2.3. Có rối loạn nặng về huyết động gây biến chứng ở các cơ quan mà động mạch chi phối: Áp dụng tỷ lệ tính theo các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Hội chứng Wolkmann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(co rút gân gấp dài các ngón tay do thiếu máu sau sang chấn, kèm theo có các dấu hiệu đau, phù nề, mất mạch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Tính theo tỷ lệ các ngón bị tổn thương theo tỷ lệ tổn thương tương ứng của hệ cơ xương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Giãn tĩnh mạch (là hậu quả của vết thương,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 Giãn tĩnh mạch chưa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2.4.2. Phù và rối loạn dinh dưỡng, loét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2.4.3. Biến chứng viêm tắc gây loét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III. Tỷ lệ tổn thương cơ thể do tổn thương hộ Hô hấp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Tổn thương xương ức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Tổn thương xương ức đơn thuần, không biến dạng hoặc biến dạng lồng ngực 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Tổn thương xương ức biến dạng lồng ngực nhiều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 thương xương sườn và thần kinh liên sườn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Gãy một hoặc hai xương sườn, can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Gãy một hoặc hai xương sườn can xấu hoặc gãy ba đến năm xương sườn, can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Gãy ba đến năm xương sườn, can xấu hoặc gãy sáu xương sườn trở lên, can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Gãy sáu xương sườn trở lên, can xấu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Mất đoạn hoặc cắt bỏ một hoặc hai xương sườn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Mất đoạn hoặc cắt bỏ ba đến năm xương sườn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 Mất đoạn hoặc cắt bỏ sáu xương sườn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 Tỷ lệ từ Mục 2.1 đến 2.7 đã tính tổn thương thần kinh liên sườn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Tỷ lệ từ Mục 2.2 đến 2.7 đã tính cả lồng ngực biến dạng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Tổn thương màng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Tổn thương màng phổi đơn thuần không phẫu thuật hoặc có phẫu thuật nhưng không để lại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Dị vật màng phổi đơn thuần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Dị vật màng phổi gây biến chứng dày dính phế mạc: Áp dụng tỷ lệ tổn thương màng phổi Mục 3.4 hoặc Mục 3.5 hoặc Mục 3.6 tùy thuộc mức độ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Tổn thương màng phổi di chứng dày dính màng phổi dưới một phần tư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3.5. Tổn thương màng phổi di chứng dày dính màng phổi từ một phần tư đến một phần hai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Tổn thương màng phối di chứng dày dính màng phổi trên một phần hai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Tổn thương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Tổn thương nhu mô phôi đơn thuần không phẫu thuật hoặc có phẫu thuật nhưng không để lại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Dị vật đơn thuần nhu mô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Tổn thương nhu mô phải một bên đã phẫu thuật, di chứng dày dính màng phổi đơn thuần dưới một phần tư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 Tổn thương nhu mô phổi đã phẫu thuật, di chứng dày dính màng phối đơn thuần từ một phần tư đến một phần hai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 Tổn thương nhu mô phổi đã phẫu thuật, di chứng dày dính màng phổi đơn thuần trên một phần hai diện tích hai phế trường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Tổn thương nhu mô phổi gây xẹp từ một đến hai phân thùy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 Tổn thương nhu mô phổi gây xẹp từ ba phân thùy phổi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 Mổ cắt phối không điển hình (dưới một thùy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4.9. Mổ cắt từ một thùy phổi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4.10. Mổ cắt bỏ toàn bộ một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56 - 60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khí quản, phế quản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Tổn thương khí quản, phế quản đơn thuần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Tổn thương khí quản, phế quản gây khó thở, không rối loạn giọng nói, tiếng nói và/hoặc không rối loạn thông khí phổi tắc nghẽn hoặc hỗn hợp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 Tổn thương khí quản, phế quản đoạn trung thất gây khó thở và rối loạn giọng nói, tiếng nói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 Mổ phục hồi khí quản, phế quản sau tổn thương khí quản, phế quản hoặc sau cắt thùy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 Tổn thương cơ hoành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Tổn thương cơ hoành, không phải can thiệp phẫu thuật, không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Tổn thương cơ hoành phải can thiệp bằng phẫu thuật,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 Tổn thương cơ hoành phải can thiệp, kết quả không tốt phải phẫu thuật lại hoặc gây dày dính màng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Rối loạn thông khí phổi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Rối loạn thông khí phải hạn chế hoặc tắc nghẽn không hồi phục hoặc hỗn hợp mức độ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 Rối loạn thông khí phổi hạn chế hoặc tắc nghẽn không hồi phục hoặc hỗn hợp mức độ trung bình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 Rối loạn thông khí phổi hạn chế hoặc tắc nghẽn không hồi phục hoặc hỗn hợp mức độ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Tâm phế mạn tính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Mức độ 1: có biểu hiện trên lâm sàng (độ 1) và/hoặc siêu âm tim và điện tim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 Mức độ 2: có biểu hiện trên lâm sàng (độ 1, độ 2) và/hoặc có biến đổi hình thái hoặc chức năng tim phải trên siêu âm tim; điện tim bình thường và/hoặc có biến đổi trên điện tim, siêu âm tim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 Mức độ 3: có biểu hiện trên lâm sàng (độ 3 trở lên) và/hoặc có biến đổi hình thái, chức năng tim phải trên siêu âm tim và/hoặc có biến đổi trên điện tim, siêu âm tim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 Mức độ 4: có biểu hiện trên lâm sàng (độ 4) và/hoặc có biến đổi hình thái, chức năng tim phải trên siêu âm tim và/hoặc có biến đổi trên điện tim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IV. Tỷ lệ tổn thương cơ thể do tổn thương hệ Tiêu hóa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Tổn thương thực quản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Khâu lỗ thủng thực quản không gây di chứng ảnh hưởng đến ăn uống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1.2. Khâu lỗ thủng thực quản có di chứng gây ảnh hưởng đến ăn uống: chỉ ăn </w:t>
            </w:r>
            <w:r w:rsidRPr="00F1032B">
              <w:rPr>
                <w:rFonts w:ascii="Times New Roman" w:eastAsia="Times New Roman" w:hAnsi="Times New Roman" w:cs="Times New Roman"/>
                <w:color w:val="000000"/>
                <w:sz w:val="26"/>
                <w:szCs w:val="26"/>
              </w:rPr>
              <w:lastRenderedPageBreak/>
              <w:t>được thức ăn mềm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1.3. Khâu lỗ thủng thực quản có biến chứng rò hoặc hẹp phải mổ lại, gây hẹp vĩnh viễn, chỉ ăn được chất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Chất hẹp thực quản do chấn thương (mọi nguyên nhân: bỏng, chấn thương.) gây chít hẹp phải mở thông da dày vĩnh viễn để ăn uống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Phẫu thuật cắt thực quản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 Cắt một phần thực quản (bao gồm phẫu thuật dạ dày để tạo hình thực quản)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 Cắt toàn bộ thực quản (bao gồm phẫu thuật dạ dày để tạo hình thực quản)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 thương dạ dày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Thủng dạ dày đã xử lý</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 Không gây biến dạng dạ dày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Có biến dạng dạ dày hình hai túi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 Có viêm loét phải điều trị nội khoa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2.1.4. Không biến dạng dạ dày, có viêm phải điều trị nội khoa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2.1.5. Có biến dạng dạ dày, có viêm phải điều trị nội khoa ổn định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2.1.6. Có loét, chảy máu phải điều trị nội khoa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Cắt đoạn dạ dày, sau phẫu thuật không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Tổn thương phải cắt hai phần ba dạ dày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Tổn thương phải cắt ba phần tư dạ dày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Cắt đoạn dạ dày (như trong Mục 2.2), có biến chứng phải phẫu thuật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Cắt toàn bộ dạ dày, tạo hình dạ dày bằng ruột non, cơ thể suy nhược, nặng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Tổn thương ruột non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Tổn thương gây thủng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3.1.1. Thủng một hoặc hai lỗ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3.1.2. Thủng từ ba lỗ trở lên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Tổn thương phải cắt đoạn ruột non dưới một mét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3.2.1. Cắt đoạn hỗng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3.2.2. Cắt đoạn hồi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Tổn thương phải cắt bỏ ruột non dài trên một mét, có rối loạn tiêu hóa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3.3.1. Cắt đoạn hỗng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3.3.2. Cắt đoạn thuộc hồi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Tổn thương phải cắt bỏ gần hết ruột non có rối loạn tiêu hóa trầm trọng, ảnh hưởng nặng nề đến dinh dưỡng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Tổn thương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Tổn thương thủng đại tràng không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 Thủng một lỗ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 Thủng từ hai lỗ trở lên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4.1.3. Thủng đại tràng đã xử trí nhưng bị dò phải phẫu thuật lại nhưng không phải cắt đoạn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Tổn thương phải cắt đại tràng, không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 Cắt đoạn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 Cắt nửa đại tràng phải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4.2.3. Cắt nửa đại tràng trái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4.2.4. Cắt toàn bộ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Tổn thương cắt đoạn đại tràng phải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 Cắt đoạn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66 - 70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 Cắt nửa đại tràng phải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4.3.3. Cắt nửa đại tràng trái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4.3.4. Cắt toàn bộ đại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trực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Thủng trực tràng không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 Thủng một lỗ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 Thủng từ hai lỗ trở lên đã xử trí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5.1.3. Thủng trực tràng đã xử trí nhưng còn bị dò kéo dài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Tổn thương phải cắt trực tràng không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 Tổn thương phải cắt bỏ một phần trực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 Tổn thương phải cắt bỏ hoàn toàn trực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 Tổn thương trực tràng đã xử trí và phải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5.3.1. Thủng trực tràng có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5.3.2. Tổn thương phải cắt trực tràng có làm hậu môn nhân tạo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Tổn thương hậu môn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Tổn thương cơ thắt hậu môn, ống hậu môn đã xử trí lần đầu, không gây rối loạn đại tiện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Tổn thương cơ thắt hậu môn, ống hậu môn đã xử trí lần đầu, có di chứng gây rối loạn đại tiện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6.2.1. Táo bón hoặc khó đại tiện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6.2.2. Đại tiện không tự chủ</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 Tổn thương cơ thắt hậu môn, ống hậu môn gây dò phải phẫu thuật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6.3.1 Phẫu thuật có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6.3.2. Phẫu thuật không có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Tổn thương gan, mật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7.1. Đụng dập gan, điều trị bảo tồn bằng nội khoa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 Phẫu thuật khâu vỡ gan hoặc phẫu thuật áp xe gan sau chấn thương, vết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7.2.1. Khâu vỡ gan hoặc phẫu thuật áp xe của một thùy gan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7.2.2. Khâu vỡ gan hoặc phẫu thuật áp xe của hai thùy gan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 Cắt bỏ gan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7.3.1. Cắt bỏ một phân thùy gan phải hoặc phân thùy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7.3.2. Cắt bỏ gan trái hoặc gan phải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7.3.3. Cắt bỏ gan phải, có rối loạn chức năng gan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 Dị vật nằm trong nhu mô gan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7.4.1. Chưa gây tai biến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7.4.2. Phẫu thuật nhưng không lấy được dị vật và không phải làm thủ thuật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 Tổn thương cắt bỏ túi mật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 Mổ xử lý ống mật chủ</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7.6.1.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7.6.2. Kết quả không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7.6.3. Phẫu thuật xử lý ống mật chủ và cắt bỏ túi mật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7.7. Phẫu thuật nối túi mật - ruột non hay nối ống mật ruột non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7.8. Phẫu thuật đường mặt nhiều lần do dò mật, tắc mật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Tổn thương tụy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Tổn thương tụy phải khâu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8.1.1. Khâu đuôi tụy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8.1.2. Khâu thân tụy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8.1.3. Khâu đầu tụy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 Tổn thương phải phẫu thuật nối ống tụy - ruột non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 Tổn thương phải phẫu thuật cắt tụy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8.3.1. Cắt đuôi tụy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8.3.2. Cắt đuôi tụy biến chứng dò phải phẫu thuật lại, điều trị có kết quả, thể trạng không suy mòn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8.3.3. Phẫu thuật cắt khối tá tụy ảnh hưởng nhiều đến dinh dưỡng, thể trạng gầy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8.3.4. Phẫu thuật cất khối tá tụy biến chứng dò kéo dài sau phẫu thuật, điều trị ít kết quả, thể trạng rất gầy, suy mòn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Tổn thương lách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Tổn thương rách, vỡ lách, phẫu thuật điều trị vẫn bảo tồn được lách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 Cắt lách</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Nếu cắt lách gây biến chứng thiếu máu thì cộng lùi với tỷ lệ thiếu máu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Các tổn thương khác của hệ tiêu hóa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 Phẫu thuật thăm dò ổ bụng do tổn thương hoặc lấy dị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10.1.1. Thăm dò đơn thuần hoặc lấy được dị vật trong ổ bụng, không phải can thiệp vào các cơ quan, phủ tạng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10.1.2. Không lấy được dị vật trong ổ bụng và không phải can thiệp vào các cơ quan, phủ tạng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 Sau phẫu thuật ổ bụng (đã xác định tỷ lệ) nhưng có biến chứng dính tắc ruột... phải phẫu thuật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10.2.1. Mổ gỡ dính lần thứ nhất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10.2.2. Mổ gỡ dính lần thứ hai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10.2.3. Mổ gỡ dính từ lần ba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10.3. Phẫu thuật xử trí tổn thương ở mạc nối, mạc treo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10.3.1. Khâu cầm máu đơn thuần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10.3.2. Khâu cầm máu và cắt một phần mạc nối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 Tổn thương do vết thương phá hủy cơ thành bụng đơn thuần, phải phẫu thuật tái tạo lại thành bụng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10.4.1. Phẫu thuật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10.4.2. Sau phẫu thuật còn sa lồi thành bụng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10.4.3. Sau phẫu thuật còn thoát vị thành bụng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 Tỷ lệ tổn thương cơ thể do tổn thương hệ Tiết niệu - Sinh dục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Chấn thương dụng dập thận: (Đã được điều trị bảo tồn không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Một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Hai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Chấn thương thận gây xơ teo mất chức năng một thân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 Thận bên kia bình thường, không suy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 Thận bên kia không bình thường và/hoặc suy thận: Tỷ lệ Mục 1.2.1 cộng lùi tỷ lệ bệnh, tật của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Chấn thương thận - Mổ cắt thận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1.3.1. Cắt bỏ một phần thân, thân còn lại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1.3.2. Cắt bỏ một thận, thận còn lại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1.3.3. Cắt bỏ thận, thận còn lại có bệnh, tật: Tỷ lệ Mục 1.3.1 hoặc 1.3.2 cộng lùi tỷ lệ bệnh tật của thận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Dị vật trong thận chưa lấy ra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1.4.1. Dị vật ở một thận, chưa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1.4.2. Dị vật ở hai thận, chưa gây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1.4.3. Dị vật ở thận gây biến chứng: Tỷ lệ Mục 1.4.1 hoặc 1.4.2 cộng lùi tỷ lệ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Niệu quản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Tổn thương niệu quản cắt dưới 5 cm đã phẫu thuật phục hồi có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Tổn thương niệu quản cắt từ 5 cm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Phải mổ tạo hình niệu quản không có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Phải mổ tạo hình niệu quản có biến chứng: Tỷ lệ Mục 2.2.1 cộng lùi tỷ lệ biến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Bàng quang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Tổn thương bàng quang đã phẫu thuật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Tổn thương bàng quang sau điều trị có di chứng: "hội chứng bàng quang nhỏ" (dung tích dưới 100 ml)</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Tạo hình bàng quang mới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Đặt dẫn lưu bàng quang vĩnh viễn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Niệu đạo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Điều trị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Phục hồi không tốt phải nong hoặc can thiệp tạo hình lại có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Phục hồi không tốt phải nong hoặc can thiệp tạo hình lại không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Tầng sinh môn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Điều trị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Có biến chứng rò bàng quang - âm đạo hay niệu đạo, trực tràng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 Phẫu thuật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 Phải mổ lại lần hai kết quả hạn chế</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5.2.3. Mổ lại trên hai lần nhưng không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 Tinh hoàn, Buồng trứng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Mất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Mất cả hai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Dương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Mất một phần dương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 Mất hoàn toàn dương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 Sẹo dương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7.3.1. Gây co kéo dương vật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7.3.2. Lốc da dương vật phải ghép da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7.3.3. Lóc da dương vật phải ghép da kết quả không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Cắt tử cung bán phần hoặc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Đã có con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 Chưa có con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Vú</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Mất một vú</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 Mất hai vú</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Ống dẫn tinh, Vòi trứng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 Đứt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 Đứt cả hai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10.2.1. Đã có con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10.2.2. Chưa có con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Vết thương âm hộ, âm đạo và sẹo co kéo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Trên 50 tuổi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11.2. Dưới 50 tuổi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 Tỷ lệ tổn thương cơ thể do tổn thương Cơ - Xương -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Cánh tay và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Cụt hai chi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Tháo hai khớp cổ tay (hoặc cụt hai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Cụt 1/3 trên cẳng tay một bên và 1/3 giữa cẳng tay bên kia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Cụt 1/3 giữa hai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 Cụt 1/3 trên hai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 Tháo hai khớp khuỷu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 Cụt 1/3 giữa một cánh tay và 1/3 giữa một cẳng tay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1.1.7. Cụt 1/3 giữa một cánh tay và 1/3 trên một cẳng tay bên kia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 Cụt 1/3 trên một cánh tay một bên và 1/3 giữa một cẳng tay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1.1.9. Cụt 1/3 trên môt cánh tay một bên và 1/3 trên một cẳng tay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1.1.10. Cụt hai cánh tay từ 1/3 giữa -1/3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1.1.11. Cụt hai cánh tay từ 1/3 trên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1.1.12. Tháo hai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Cụt hai chi: môt chi trên và một dưới, cùng bên hoặc khác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 Cụt một cẳng tay và một cẳng chân (bất kì đoạn nào kể từ tháo khớp cổ tay hoặc tháo khớp cổ chân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 Cụt 1/3 giữa một cánh tay (hoặc đùi) và 1/3 dưới một cẳng chân (hoặc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 Cụt 1/3 trên một cánh tay (hoặc đùi) và 1/3 trên một cẳng chân (hoặc một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 Cụt 1/3 trên một cánh tay và 1/3 giữa đùi, hoặc ngược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1.2.5. Cụt 1/3 trên một cánh tay và 1/3 trên một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 Tháo khớp vai và tháo một khớp háng cùng hoặc khác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Cụt một chi trên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1.3.1 Tháo khớp cả tay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1.3.2. Cụt một cẳng tay và mù hoàn toàn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1.3.3. Cụt một cánh tay và khoét bỏ một nhãn cầu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1.3.4. Cụt một cánh tay và khoét bỏ một nhãn cầu không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1.3.5. Tháo khớp một vai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1.3.6. Tháo khớp một vai và khoét bỏ một nhãn cầu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1.3.7. Tháo khớp một vai và khoét bỏ một nhãn cầu không lắp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Tháo một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Cụt một cánh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 Đường cắt 1/3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 Đường cắt 1/3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66 - 70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Gãy đầu trên xương cánh tay (từ cổ giải phẫu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1.6.1. Vỡ, tiêu chỏm đầu xương cánh tay hậu quả hàn khớp vai hoặc lủng liểng (chụp phim Xquang xác định)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1.6.2. Can liền tốt, nhưng có teo cơ và hạn chế động tác khớp vai mức độ vừa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1.6.3. Can liền xấu, teo cơ Delta, đai vai và cánh tay, hạn chế động tác khớp vai nhiều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Gẫy thân xương cánh tay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1.7.1. Can liền tốt, trục thẳng, không ngắn chi, cánh tay cử động tương đối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1.7.2. Can liền xấu, trục hơi lệch, không ngắn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1.7.3. Can liền xấu, trục lệch, ngắn chi, teo cơ do giảm vận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1.7.3.1. Ngắn dưới 3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1.7.3.2. Ngắn từ 3 cm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1.7.4. Can xấu, hai đầu gẫy chồng nhau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 Gẫy đầu dưới xương cánh tay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1.8.1. Gẫy trên lồi cầu hoặc gẫy giữa hai lồi cầu, hạn chế gấp, duỗi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1.8.2. Gẫy như Mục 1.8.1, nhưng can liền xấu, di lệch dẫn đến hậu quả cứng, hàn khớp khuỷu: Áp dụng tỷ lệ tổn thương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1.8.3. Mẻ hoặc rạn lồi cầu đơn thuần, không ảnh hưởng đến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 Mất đoạn xương cánh tay tạo thành khớp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1.9.2. Khớp giả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 Tổn thương khớp vai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1.10.1. Mức độ hạn chế các động tác ít (hạn chế 1 - 2/7 động tác)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1.10.2. Mức độ hạn chế các động tác rất nhiều, kèm theo teo cơ (hạn chế 3 - 5/7 động tác)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1.10.3. Cứng khớp vai gần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Cứng khớp vai hoàn toàn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1.11.1. Tư thế thuận: tư thế nghỉ - 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1.11.2. Tư thế không thuận: Ra trước, ra sau, giơ ngang và lên cao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Sai khớp vai cũ dễ tái phát (không còn điều trị hoặc điều trị không kết quả)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Cứng nhiều khớp lớn chi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1.13.1. Vừa cứng khớp vai vừa cứng khớp khuỷu một bên ở tư thế bất lợi về </w:t>
            </w:r>
            <w:r w:rsidRPr="00F1032B">
              <w:rPr>
                <w:rFonts w:ascii="Times New Roman" w:eastAsia="Times New Roman" w:hAnsi="Times New Roman" w:cs="Times New Roman"/>
                <w:color w:val="000000"/>
                <w:sz w:val="26"/>
                <w:szCs w:val="26"/>
              </w:rPr>
              <w:lastRenderedPageBreak/>
              <w:t>chức năng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1.13.2. Cứng cả ba khớp: vai - khuỷu -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Cẳng tay và khớp khuỷu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Tháo một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Cụt một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Đường cắt 1/3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Đường cắt 1/3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56 - 60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Cứng một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2.3.1. Cẳng tay gấp - duỗi được trong khoảng trên 5° đến 145°</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2.3.2. Cẳng tay gấp - duỗi được trong khoảng trên 45° đến 90°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2.3.3. Cẳng tay gấp - duỗi được trong khoảng 0° đến 45°</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2.3.4. Cẳng tay gấp - duỗi được trong khoảng trên 100° đến 150°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Gẫy hai xương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 Không liền xương hoặc mất đoạn xương tạo thành khớp giả hai xương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2.4.1.2. Khớp giả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2.4.2. Can liền tốt trục thẳng, chức năng cẳng tay gần như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2.4.3. Xương liền xấu, trục lệch, chi ngắn dưới 3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2.4.4. Xương liền xấu, trục lệch, chi ngắn trên 3 cm, ảnh hưởng đến chức năng sấp - ngửa cẳng tay và vận động của khớp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2.4.5. Bốn đầu xương gãy dính nhau, can xấu, mất sấp ngửa cẳng tay, teo cơ</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Gẫy đầu dưới cả hai xương cẳng tay sát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 Hạn chế chức năng khớp cổ tay ít và vừa (1 đến 2/5 động tác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2.5.2. Hạn chế chức năng khớp cổ tay nhiều (trên 3 động tác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2.5.3. Cứng khớp cổ tay tư thế cơ năng (0°)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2.5.4. Cứng khớp cổ tay tư thế gấp hoặc ngửa tối đa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2.5.5. Cứng khớp cổ tay tư thế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Gẫy thân xương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 Can liền tốt, trục thẳng, không ngăn chi, chức năng cẳng tay tương đối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 Can liền xấu, trục lệch hoặc chi bị ngắn trật khớp quay - trụ và hạn chế chức năng sấp - ngửa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 Không liền xương hoặc mất đoạn xương tạo thành khớp giả xương quay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2.6.3.2. Khớp giả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 Gẫy đầu trên xương quay có di chứng làm trở ngại gấp - duỗi khớp khuỷu và hạn chế sấp, ngửa cẳng tay, kèm theo teo cơ</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 Gẫy đầu dưới xương quay (kiểu Pouteau - Colles)</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2.8.1. Kết quả điều trị tốt di chứng không đáng kể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2.8.2. Hạn chế vận động cẳng tay,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 Gẫy thân xương trụ</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2.9.1. Can liền tốt, trục thẳng, chức năng cẳng tay không bị ảnh hưởng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2.9.2. Can liền xấu, trục lệch hoặc hai đầu gẫy dính với xương quay làm mất chức năng sấp, ngửa cẳng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2.9.3. Không liền xương hoặc mất đoạn xương tạo thành khớp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2.9.3.1.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2.9.3.2. Khớp giả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2.10. Gẫy mỏm khuỷu xương trụ gây hậu quả biến dạng khớp khuỷu, cứng </w:t>
            </w:r>
            <w:r w:rsidRPr="00F1032B">
              <w:rPr>
                <w:rFonts w:ascii="Times New Roman" w:eastAsia="Times New Roman" w:hAnsi="Times New Roman" w:cs="Times New Roman"/>
                <w:color w:val="000000"/>
                <w:sz w:val="26"/>
                <w:szCs w:val="26"/>
              </w:rPr>
              <w:lastRenderedPageBreak/>
              <w:t>khớp: Áp dụng theo tổn thương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2.11. Gẫy 1/3 trên xương trụ và trật khớp đầu trên xương quay (gãy kiểu Munteggia) để lại di chứng cứng khớp khuỷu hạn chế sấp - ngửa cẳng tay: Áp dụng theo tổn thương khớp khuỷu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Gẫy rời mỏm trâm quay hoặc trâm trụ làm yếu khớp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Bàn tay và khớp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Tháo khớp cổ tay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Cứng khớp cổ tay do chấn thương (các ngón tay vẫn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3.2.1. Cổ tay ở tư thế cơ năng (0°)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3.2.2. Cổ tay ở tư thế gấp hoặc ngửa tối đa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3.2.3. Cổ tay ở tư thế khác (không phải tư thế cơ năng hoặc gấp, ngửa tối đa)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Gẫy, vỡ xương hoặc trật khớp cũ khớp xương cổ tay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3.3.1. Di chứng ảnh hưởng ít đến động tác khớp cổ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3.3.2. Gây cứng khớp cổ tay: Áp dụng theo Mục 3.2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Gẫy xương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3.4.1. Gẫy một - hai xương bàn tay, nếu bàn tay không bị biến dạng và không hạn chế chức năng bàn tay -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3.4.2. Gẫy trên hai xương bàn tay, hoặc trường hợp gẫy can xương xấu, bàn tay biến dạng, ảnh hưởng nhiều đến chức năng bàn tay,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3.4.3. Mất đoạn xương nhiều xương bàn tay làm bàn tay biến dạng và gây hạn chế chức năng nhiều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Cụt (mất) năm ngón tay của một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 Cụt (mất) năm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 Trường hợp cắt rộng đến xương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4.2. Cụt (mất) bốn ngón của một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 Mất ngón cái (I), ngón trỏ (II), ngón giữa (III) và ngón tay đeo nhẫn (IV): I + II+ III +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 Mất ngón tay cái và ba ngón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4.2.2.1. Mất các ngón I + II+ III + IV (còn lại ngón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4.2.2.2. Mất các ngón I + II + IV + V (còn lại ngón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4.2.2.3. Mất các ngón I + III + IV + V (còn lại ngón 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4.2.3. Mất bốn ngón II + III + IV + V (còn lại ngón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4.2.4. Vừa bị mất bốn ngón tay vừa tổn thương (gẫy, khuyết...) từ một đến ba xương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45 - 47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Cụt (mất) ba ngón tay của một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 Mất ngón I và hai ngón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4.3.1.1. Mất các ngón I + II +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4.3.1.2. Mất các ngón I + II +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4.3.1.3. Mất các ngón I + II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4.3.1.4. Mất các ngón I + III +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4.3.1.5. Mất các ngón I + III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4.3.1.6. Mất các ngón I + IV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 Mất ngón II và hai ngón khác (còn lại ngón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4.3.2.1. Mất các ngón II + III +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4.3.2.2. Mất các ngón II + III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4.3.2.3. Mất các ngón II + IV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4.3.3. Mất các ngón III + IV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4.3.4. Cắt cụt ba ngón tay kèm tổn thương một đến ba xương bàn tương ứng </w:t>
            </w:r>
            <w:r w:rsidRPr="00F1032B">
              <w:rPr>
                <w:rFonts w:ascii="Times New Roman" w:eastAsia="Times New Roman" w:hAnsi="Times New Roman" w:cs="Times New Roman"/>
                <w:color w:val="000000"/>
                <w:sz w:val="26"/>
                <w:szCs w:val="26"/>
              </w:rPr>
              <w:lastRenderedPageBreak/>
              <w:t>thì được cộng thêm 4 - 6% (cộng lùi)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4.4. Cụt (mất) hai ngón tay của một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 Mất ngón I và một ngón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4.4.1.1. Mất ngón I và ngón 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4.4.1.2. Mất ngón I và ngón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4.4.1.3. Mất ngón I và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4.4.1.4. Mất ngón I và ngón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 Mất ngón II và một ngón khác (trừ ngón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4.4.2.1. Mất ngón II và ngón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4.4.2.2. Mất ngón II và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4.4.2.3. Mất ngón II và ngón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4.4.3. Mất ngón tay III và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4.4.4. Mất ngón tay III và ngón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4.4.5. Mất ngón IV và ngón út V</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hai ngón tay kèm theo tổn thương xương bàn tương ứng được cộng thẳng 2 - 4 % vào tỷ lệ mất ngón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 Cụt (mất) một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 Ngón I (ngón cái)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4.5.1.1. Cứng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4.5.1.2. Hàn khớp đốt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4.5.1.3. Mất xương tạo thành khớp giả ngón cái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4.5.1.4. Mất đốt ngoài (đốt hai)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4.5.1.5. Mất trọn ngón I (tháo khớp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4.5.1.6. Mất trọn ngón và một phần xương bàn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4.5.2. Ngón II (ngón trỏ)</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4.5.2.1. Cứng một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4.5.2.2. Cứng khớp đốt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4.5.2.3. Cứng các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11 -12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4.5.2.4. Mất đốt ba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4.5.2.5. Mất hai đốt ngoài (đốt 2 và 3)</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4.5.2.6. Mất trọn ngón II (tháo khớp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4.5.2.7. Mất trọn ngón II và một phần xương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 Ngón III (ngón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4.5.3.1. Cứng một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4.5.3.2. Cứng khớp đốt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4.5.3.3. Cứng các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4.5.3.4 Mất đốt ba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4.5.3.5. Mất hai đốt ngoài (đốt 2 và 3)</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4 - 6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4.5.3.6. Mất trọn ngón III (tháo khớp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4.5.3.7. Mắt trọn ngón và một phần xương bàn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 Ngón IV (ngón đeo nhẫn)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4.5.4.1. Cứng một khớp liên dốt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4.5.4.2. Cứng khớp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4.5.4.3. Cứng các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4.5.4.4. Mất đốt ba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4.5.4.5. Mất hai đốt ngoài của ngón IV (đốt 2 và 3)</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4 - 6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4.5.4.6. Mất trọn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4.5.4.7. Mất trọn ngón và một phần xương bàn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 Ngón V (ngón tay út)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4.5.5.1. Cứng một khớp liến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4.5.5.2. Hàn khớp đốt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4.5.5.3. Cứng các khớp liên đốt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4.5.5.4. Mất đốt ba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4.5.5.5. Mất đốt hai và ba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4.5.5.6. Mất trọn ngón V (tháo khớp ngón -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4.5.5.7. Mất trọn ngón và một phần xương bàn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Cụt nhiều ngón tay của hai bàn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4.6.1. Cụt hai ngón I (ngón tay cái)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4.6.2. Cụt hai ngón 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4.6.3. Cụt hai ngón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4.6.4. Chấn thương cắt cụt hai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4.6.5. Chấn thương cắt cụt hai ngón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4.6.6. Cụt ngón I, ngón II và ngón III bàn tay phải (tay thuận) và cụt ngón I, ngón II bàn tay trái (tay không thuận)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 Gẫy xương một đốt ngón tay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Xương đòn và xương bả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Gẫy xương đòn (1/3 ngoài, giữa hoặc trong)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 Can liền tốt, không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 Can liền xấu, gồ, cứng vai và đau ảnh hưởng đến gánh, vác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Mất đoạn xương gây khớp giả xương đòn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5.3. Sai khớp đòn - mỏm - bả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 Sai khớp ức - đòn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 Gẫy xương bả vai một bên do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5.5.1. Gẫy, vỡ hoặc có lỗ khuyết ở thân xương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5.5.2. Gẫy vỡ ở ngành ngang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5.5.3. Gẫy vỡ phần ổ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5.5.3.1. Vỡ ổ khớp vai đơn thuần, chòm xương cánh tay không bị tổn thương nhưng để lại hậu quả dễ trật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5.5.3.2. Vỡ ổ khớp kèm tổn thương chỏm gây hậu quả cứng, hàn khớp vai: Áp dụng tổn thương khớp vai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Đùi và khớp háng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Cụt hai chi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6.1.1. Tháo hai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 Cụt 1/3 giữa hai cẳng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6.1.3. Cụt 1/3 trên hai cẳng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6.1.4. Tháo khớp gối hai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6.1.5. Cụt 1/3 giữa một đùi và 1/3 giữa cẳng chân bên kia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6.1.6. Cụt 1/3 trên đùi một bên và 1/3 trên một cẳng chân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6.1.7. Cụt 1/3 trên một đùi một bên và 1/3 dưới đùi còn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6.1.8. Cụt hai đùi từ 1/3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6.1.9. Cụt hai đùi từ 1/3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6.1.10. Cụt ngang mấu chuyển hai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6.1.11. Tháo hai khớp háng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Cụt một chi dưới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6.2.1. Cụt một cẳng chân và khoét bỏ một nhãn cầu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6.2.2. Cụt một đùi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6.2.3. Tháo bỏ một khớp háng và mù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6.2.4. Cụt một đùi và khoét bỏ một nhãn cầu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6.2.5. Tháo một khớp háng và khoét bỏ một nhãn cầu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6.2.6. Tháo một khớp háng và khoét bỏ một nhãn cầu không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 Tháo một khớp háng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 Cụt một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6.4.1. Đường cắt ở 1/3 giữa</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6.4.2. Đường cắt ở 1/3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6.4.3. Đường cắt ở ngang mấu chuyển lớn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68 - 69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 Gẫy đầu trên xương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6.5.1. Can liền tốt, trục thẳng, nhưng có teo cơ</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6.5.2. Can liền xấu, trục lệch, cơ teo nhiều, chi ngắn dưới 4 cm, chức năng khớp háng bị hạn chế</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6.5.3. Can liền xấu, trục lệch, cơ teo nhiều chi ngắn trên 4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6.5.4. Gẫy cổ xương đùi gây tiêu chỏm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6.5.5. Mất đoạn xương hoặc không liền xương tạo thành khớp giả cổ xương đùi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6.5.5.1.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6.5.5.2. Khớp giả lỏng lẻo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6.6. Trật khớp háng hoặc gẫy cổ xương đùi, đã phẫu thuật thay chỏm nhân tạo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 Gẫy thân xương đùi ở 1/3 giữa hoặc dưới đã điều trị ổn định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6.7.1. Can liền tốt, trục thẳng, chức phận chi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6.7.2. Can liền xấu, trục lệch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6.7.3. Can xấu, trục lệch, chi ngắn dưới 4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6.7.4. Can xấu, trục lệch, chi ngắn trên 4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6.8. Gãy đầu dưới xương đùi gần sát lồi cầu sau điều trị có di chứng hạn chế vận động khớp gối: Áp dụng tỷ lệ cứng khớp gối Mục 7.11 trong bảng này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6.9. Sai khớp háng kết quả điều trị</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6.9.1.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6.9.2. Gây lỏng khớp háng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 Cứng một khớp háng sau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6.10.1. Chi ở tư thế thẳng trục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6.10.1.1. Từ 0 - 90°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6.10.1.2. Từ 0 đến 60°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6.10.1.3. Từ 0 đến 30°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6.10.2. Chi ở tư thế vẹo hoặc gấp kèm theo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6.10.2.1. Từ 0 đến 90°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6.10.2.2. Từ 0 đến 60°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6.10.2.3. Từ 0 đến 30°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6.11. Cứng hoàn toàn một khớp háng sau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 Chấn thương để lại hậu quả cứng hai, ba khớp lớn chi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6.12.1. Cứng một khớp háng và một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6.12.2. Cứng một khớp gối và một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6.12.3. Cứng ba khớp lớn (háng,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66 - 70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6.12.4. Cứng ba khớp háng, gối và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6.12.5. Cứng ba khớp (gối và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Cẳng chân và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Tháo một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 Cụt một cẳng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7.2.1. Cụt ở 1/3 trên, nếu khớp gối bình thường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7.2.1.1. Lắp được chân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7.2.1.2. Không lắp được chân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7.2.2. Cụt ở 1/3 giữa hoặc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7.2.2.1. Đã lắp chân giả đi lại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7.2.2.2. Không lắp được chân giả hoặc đi chân giả đau, khó</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 Gãy hai xương cẳng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7.3.1. Can liền tốt, trục thẳng, không ngắn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7.3.2. Can xương xấu, hoặc can dính hai xương, cẳng chân bị vẹo và ngắn dưới 2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7.3.3. Di chứng như Mục 7.3.2 nhưng chi ngắn từ 2 cm đến dưới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7.3.4. Di chứng như Mục 7.3.2 nhưng chi ngắn từ 5 cm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 Mất đoạn hai xương chày, mác tạo thành khớp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7.4.1. Khớp giả hai xương chặt, chi ngắn dưới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7.4.2. Khớp giả hai xương lỏng, chi ngắn trên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 Gẫy thân xương chày một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7.5.1. Gẫy thân xương chày ở bất kể đoạn nào, can tốt, trục thẳng, không ngắn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7.5.2. Gẫy thân xương chày ở bất kể đoạn nào, can xấu, trục lệch, chi ngắn dưới 2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7.5.3. Gẫy thân xương chày ở bất kể đoạn nào, can xấu, trục lệch, chi ngắn từ 2 cm đến dưới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7.5.4. Gẫy thân xương chày ở bất kể đoạn nào, can xấu, trục lệch, chi ngắn từ 5 cm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7.5.5. Gẫy thân xương chày đã liền nhưng thân xương có ổ khuyết lớn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 Mất đoạn xương chày tạo thành khớp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7.6.1. Khớp giả chặt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7.6.2. Khớp giả lỏng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7.7. Gẫy hoặc vỡ mâm chày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7.7.1. Điều trị phục hồi tốt, khớp gối không cứng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7.7.2. Di chứng cứng khớp gối hoặc hàn khớp: Áp dụng tổn thương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7.8. Gẫy hoặc vỡ lồi cù trước mâm chày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 Gẫy thân xương mác một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7.9.1. Đường gẫy ở 1/3 giữa hoặc trên, can liến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7.9.2. Gẫy đầu trên xương mác, can xấu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7.9.3. Gẫy kiểu Dupuytren (đầu dưới xương mác), can xấu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7.9.3.1. Hạn chế nhẹ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7.9.3.2. Cổ chân bị cứng khớp nhẹ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7.10. Mất đoạn xương mác hoặc tháo bỏ xương mác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7.11. Vết thương, chấn thương khớp gối dẫn đến hậu quả cứng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7.11.1. Tầm vận động từ 0° đến trên 125°</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7.11.2 . Tầm vận động từ 0° đến 90°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7.11.3. Tầm vận động từ 0° đến 45°</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7.11.4. Cứng khớp tư thế 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7.12. Đứt gân bánh chè đã mổ khâu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7.13. Chấn thương cắt bỏ xương bánh chè làm hạn chế chức năng khớp gối: Áp dụng tỷ lệ Mục 7.11 trong bảng này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7.14. Gẫy hoặc vỡ lồi cầu xương đùi dẫn đến hậu quả hạn chế vận động khớp gối: Áp dụng tỷ lệ Mục 7.11 trong bảng này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7.15. Tổn thương sụn chêm do chấn thương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7.15.1. Rách, đứt, trật chỗ bám hoặc gây viêm mãn tính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7.15.2. Nếu phải cắt bỏ vả có hậu quả dính khớp gối: Áp dụng tỷ lệ tổn thương khớp gối Mục 7.11 trong bảng này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7.15.3. Cắt bỏ sụn chêm có biến chứng hạn chế một phần cử động gấp - duỗi khớp gối: Áp dụng tỷ lệ tổn thương khớp gối Mục 7.11 trong bảng này</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7.16. Dị vật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7.16.1. Dị vật nằm trong bao khớp hoặc bao hoạt dịch ảnh hưởng ít đến chức năng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7.16.2. Dị vật nằm trong khe khớp làm ảnh hưởng đến vận động, đi lại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7.17. Tổn thương đứt dây chằng khớp gối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7.17.1. Đứt dây chằng chéo trước hoặc sau được điều trị phục hồi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7.17.2. Đứt dây chằng chéo trước hoặc sau được điều trị phục hồi không tốt hoặc không được điều trị</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7.17.3. Đứt dây chằng ngoài khớp đã điều trị phục hồi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7.17.4. Đứt dây chằng ngoài khớp đã điều trị phục hồi không tốt hoặc không được điều trị</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Tổn thương gẫy xương nếu có tổn thương mạch máu, dây thần kinh được cộng lùi tỷ lệ nhưng tổng tỷ lệ % phải thấp hơn so với cắt bỏ đoạn chi tương 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Bàn chân và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Tháo khớp cổ chân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8.2. Tháo khớp hai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 Cắt bỏ nửa trước bàn chân (tháo khớp các xương bàn hay thủ thuật Lisfranc)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 Cắt bỏ giữa bàn chân còn để lại chỗ chống gót (thủ thuật Chopart, Ricard hay Pirogoff)</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 Chấn thương khớp cổ chân dẫn đến hậu quả cứng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8.5.1. Cứng khớp ở tư thế cơ năng (0°)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8.5.2. Cứng khớp ở tư thế bất lợi cho chức năng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 Đứt gân gót (gân Achilles )</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8.6.1. Đã nối lại, không ngắn gân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8.6.2. Gân bị ngắn sau khi nối, bàn chân ngả về phía trước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8.6.3. Không nối lại kịp thời để cơ dép co lại thành một cục, đi lại khó khăn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 Cắt bỏ hoàn toàn xương gót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 Gẫy hoặc võ xương gót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8.8.1. Vỡ tước một phần phía sau xương gót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8.8.2. Vỡ thân xương gót có ảnh hưởng đến đi lại, lao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8.8.3. Gẫy góc Boehler (phần Thalamus của xương gót) làm sập vòm bàn chân, đi lại khó và đau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8.9. Cắt bỏ xương sên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8.10. Gẫy xương sên làm bàn chân biến dạng, đi lại khó</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8.11. Gẫy xương thuyền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8.12. Gẫy/vỡ xương hộp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8.13. Gẫy/vỡ nhiều xương nhỏ giữa bàn chân dẫn đến hậu quả cứng/hàn khớp bàn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8.14. Tổn thương mắt cá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8.14.1. Không ảnh hưởng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8.14.2. Gây cứng khớp cổ chân: Áp dụng tỷ lệ cứng khớp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8.15. Gẫy hoặc mất đoạn một xương bàn của bàn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8.15.1. Can liền tốt, bàn chân không biến dạng, không ảnh hưởng đến đi đứng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8.15.2. Bàn chân biến dạng và trở ngại đến việc đi đứng, lao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8.16. Gẫy hoặc mất đoạn nhiều xương bàn của một bàn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8.16.1. Gẫy hai xương bàn, can liền xấu hoặc mất đoạn hai xương bàn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8.16.2. Gẫy trên hai xương bàn hoặc mất đoạn xương làm bàn chân biến dạng gây trở ngại nhiều đến việc đi đứng, lao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8.17. Mảnh kim khí nằm trong khe khớp cổ chân (chày - gót - sên)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8.18. Còn nhiều mảnh kim khí nhỏ ở phần mềm gan bàn chân hay găm ở xương bàn chân ảnh hưởng đến đi lại, lao động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8.18.1. Có dưới 10 mảnh nhỏ</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8.18.2. Có từ 10 mảnh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8.19. Bong gân khớp cổ chân điều trị lâu không khỏi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8.20. Viêm khớp cổ chân mãn tính sau chấn thương trật khớp, bong gân cổ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Cụt năm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 Cụt bốn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9.2.1. Cụt bốn ngón II + III + IV + V (còn lại ngón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9.2.2. Cụt bốn ngón I + II + III + IV (còn lại ngón út)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9.2.3. Cụt bốn ngón I + II + III + V (còn lại ngón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9.2.4. Cụt bốn ngón I + II + IV + V (còn lại ngón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9.3. Cụt ba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9.3.1. Cụt ba ngón nhưng không mất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9.3.2. Cụt ba ngón trong đó có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9.4. Cụt hai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9.4.1. Cụt hai ngón II + IV hoặc hai ngón III + V hoặc hai ngón IV + 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9.4.2. Cụt ngón II và một ngón khác (trừ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9.4.3. Cụt ngón chân I và một ngón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 Cụt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9.6. Cụt một ngón chân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9.7. Cụt đốt ngoài của một ngón chân I (đầu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9.8. Cụt đốt ngoài của ngón chân khác (đầu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9.9. Cụt hai đốt ngoài của một ngón chân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2 - 4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9.10. Cứng khớp liên đốt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9.10.1. Tư thế thuận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9.10.2. Tư thế bất lợi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9.11. Cứng khớp đốt - bàn của ngón chân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9.12. Cứng khớp đốt - bàn hoặc các khớp liên đốt với nhau của một ngón chân khác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9.12.1. Cứng ở tư thế thuận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9.12.2. Cứng ở tư thế bất lợi về chức năng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9.13. Gẫy xương một đốt ngón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Chậu hông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 Gẫy gai chậu trước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10.2. Gẫy mào chậu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10.3. Gẫy một bên cánh chậu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 Gẫy xương chậu kiểu Malgaigne dẫn đến méo khung chậu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10.4.1. Nam giới hoặc phụ nữ không còn sinh đẻ</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10.4.2. Phụ nữ trong độ tuổi sinh đẻ</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10.4.3. Người ở độ tuổi vi thành niên hoặc người già</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10.5. Gẫy ụ ngồi (gây ra mất đối xứng eo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10.6. Gẫy ngành ngang xương mu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10.6.1. Gẫy ở một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10.6.2. Gẫy cả hai hên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10.7. Gẫy ổ chào (Cotyle) khớp háng cả cung trước lẫn cung sau gây di lệch, làm lỏng khớp (dễ trật khớp háng)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10.8. Gẫy xương cụt không tổn thương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10.9. Gẫy xương cùng không tổn thương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Tổn thương cột sống không gây tổn thương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Tổn thương cột sống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11.1.1. Tổn thương bản lề cổ - lưng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11.1.2. Tổn thương đốt sống C</w:t>
            </w:r>
            <w:r w:rsidRPr="00F1032B">
              <w:rPr>
                <w:rFonts w:ascii="Times New Roman" w:eastAsia="Times New Roman" w:hAnsi="Times New Roman" w:cs="Times New Roman"/>
                <w:color w:val="000000"/>
                <w:sz w:val="26"/>
                <w:szCs w:val="26"/>
                <w:vertAlign w:val="subscript"/>
              </w:rPr>
              <w:t>1</w:t>
            </w:r>
            <w:r w:rsidRPr="00F1032B">
              <w:rPr>
                <w:rFonts w:ascii="Times New Roman" w:eastAsia="Times New Roman" w:hAnsi="Times New Roman" w:cs="Times New Roman"/>
                <w:color w:val="000000"/>
                <w:sz w:val="26"/>
                <w:szCs w:val="26"/>
              </w:rPr>
              <w:t> và C</w:t>
            </w:r>
            <w:r w:rsidRPr="00F1032B">
              <w:rPr>
                <w:rFonts w:ascii="Times New Roman" w:eastAsia="Times New Roman" w:hAnsi="Times New Roman" w:cs="Times New Roman"/>
                <w:color w:val="000000"/>
                <w:sz w:val="26"/>
                <w:szCs w:val="26"/>
                <w:vertAlign w:val="subscript"/>
              </w:rPr>
              <w:t>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11.1.3. Xẹp, viêm dính khớp các đốt sống cổ do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11.1.3.1. Xẹp, viêm dính một - hai đốt sống cổ, đau vừa, hạn chế một phần động tác cổ - đầu (Gấp - duỗi, nghiêng trái, phải và xoay từ 0 đến 20°)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11.1.3.2. Xẹp, viêm dính trên hai đốt sống cổ, đau nhiều, trở ngại đến vận động cổ đầu (Trên 20° ở tất cả các động tác)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Tổn thương cột sống lưng - thắt lưng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11.2.1. Gẫy, xẹp thân một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11.2.2. Gẫy, xẹp thân hai hoặc ba đốt sống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11.2.2.1. Xẹp thân hai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11.2.2.2. Xẹp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11.2.2.3. Xẹp trên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Gẫy, vỡ mỏm gai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11.3.1. Của một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11.3.2. Của hai hoặc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11.3.3. Của trên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 Gẫy, vỡ mỏm bên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11.4.1. Của một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11.4.2. Của hai hoặc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11.4.3. Của trên ba đốt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 Viêm cột sống dính khớp do chấn thương cột sống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11.5.1. Dính khớp cột sống giai đoạn 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11.5.2. Dính khớp cột sống giai đoạn 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11.5.3. Dính khớp cột sống giai đoạn II -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11.5.4. Dính khớp cột sống giai đoạn IV</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 Trượt thân đốt sống, thoát vị đĩa đệm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11.6.1. Trượt một ổ không tổn thương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11.6.2. Trượt nhiều tầng không tổn thương thần kinh</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Tổn thương xương, nếu có biểu hiện loãng xương kèm theo thì được cộng 5 - 10% (cộng lùi) (loãng xương do liệt thần kinh gây giảm vận động, do cố định xương kéo dài, không tính loãng xương do tuổi)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VII. Tỷ lệ tổn thương cơ thể do tổn thương Phần mềm và Bỏng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Sẹo vết thương phần mềm và sẹo bỏng ảnh hưởng đến chức năng da và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Sẹo vết thương phần mềm và sẹo bỏng không ảnh hưởng đến điều tiết: cứ 5%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Sẹo vùng mặt, cổ diện tích từ 1,5% đến 3%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Seo vùng mặt, cổ diện tích từ trên 3% diện tích cơ thể trở lên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Sẹo ở các vùng da hở khác diện tích trên 1% diện tích cơ thể gây rối loạn sắc tố ảnh hưởng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Sẹo vết thương phần mềm và sẹo bỏng ảnh hưởng chức năng da, các cơ quan liên quan và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Sẹo vùng Đầu - Mặt -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 Sẹo vùng da đầu có tóc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2.1.1.1. Nhiều sẹo vùng da đầu (từ năm sẹo trở lên) và đường kính của mỗi vết sẹo dưới 2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2.1.1.2. Sẹo vùng da đầu đường kính trên 5 cm hoặc nhiều sẹo vùng da đầu (từ năm sẹo trở lên) và đường kính của mỗi sẹo từ 2 đến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2.1.1.3. Lột hoặc bỏng nửa da đầu hoặc bỏng rộng hơn nửa da đầu đã được phẫu thuật tạo hình có biểu hiện đau, gây rụng tóc sau chấn thương kèm theo di chứng đau đầu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2.1.1.4. Lột da đầu toàn bộ hoặc vết thương bỏng rộng hơn nửa da đầu sẹo dính, tóc không mọc lại được phải mang tóc giả kèm theo di chứng đau đầu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Sẹo vùng mặt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2.1.2.1. Sẹo đường kính dưới 5 cm, mặt biến dạng ít có ảnh hưởng rõ đến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2.1.2.2. Sẹo đường kính 5 cm đến 10 cm, co kéo biến dạng mặt vừa, ảnh hưởng vừa đến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2.1.2.3. Sẹo đường kính trên 10 cm co kéo biến dạng mặt nặng, ảnh hưởng </w:t>
            </w:r>
            <w:r w:rsidRPr="00F1032B">
              <w:rPr>
                <w:rFonts w:ascii="Times New Roman" w:eastAsia="Times New Roman" w:hAnsi="Times New Roman" w:cs="Times New Roman"/>
                <w:color w:val="000000"/>
                <w:sz w:val="26"/>
                <w:szCs w:val="26"/>
              </w:rPr>
              <w:lastRenderedPageBreak/>
              <w:t>nặng đến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2.1.3. Sẹo vùng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2.1.3.1. Hạn chế vận động cổ mức độ nhẹ (không co kéo và biến dạng) hạn chế ngứa hoặc quay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2.1.3.2. Hạn chế vận động cổ mức độ vừa hạn chế ngửa, quay cổ</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2.1.3.3. Hạn chế vận động cổ mức độ nặng (sẹo dính cằm - cổ - ngực) mất ngửa, quay cổ</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Các đối tượng là diễn viên, giáo viên, nhân viên dịch vụ giao tiếp, nam, nữ thanh niên chưa lập gia đình ... tỷ lệ được cộng thêm 5-10% (cộng lùi)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Sẹo vùng Lưng - Ngực - Bụng: lồi, dính, co kéo, phì đại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Diện tích sẹo từ 6% đến 8%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Diện tích sẹo từ 9% đến 11%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2.2.3. Diện tích seo vùng Lưng - Ngực - Bụng từ 12% đến 17%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2.2.4. Diện tích sẹo vùng Lưng - Ngực - Bụng từ 18% đến 27%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2.2.5. Diện tích sẹo vùng Lưng - Ngực - Bụng từ 28% đến 35% diện tích cơ thể</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2.2.6. Diện tích sẹo vùng Lưng - Ngực - Bụng từ 36% diện tích cơ thể trở lên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Nếu diện tích sẹo chiếm từ 20% diện tích cơ thể trở lên ảnh hưởng điều tiết được cộng 10% (cộng lùi)</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Tổn thương mất núm vú ở nữ giới dưới 55 tuổi thì được cộng lùi với tỷ lệ mất vú</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Sẹo một bên chi trên: gây tổn thương thần kinh hoặc ảnh hưởng đến chức năng vận động của khớp: Áp dụng Bảng tỷ lệ tổn thương cơ thể do tổn thương Xương sọ và hệ Thần kinh và/hoặc tổn thương hệ Xương -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2.4. Sẹo một bên chi dưới gây tổn thương thần kinh hoặc ảnh hưởng đến chức năng vận động của khớp: Áp dụng Bảng tỷ lệ tổn thương cơ thể do tổn thương </w:t>
            </w:r>
            <w:r w:rsidRPr="00F1032B">
              <w:rPr>
                <w:rFonts w:ascii="Times New Roman" w:eastAsia="Times New Roman" w:hAnsi="Times New Roman" w:cs="Times New Roman"/>
                <w:color w:val="000000"/>
                <w:sz w:val="26"/>
                <w:szCs w:val="26"/>
              </w:rPr>
              <w:lastRenderedPageBreak/>
              <w:t>Xương sọ và hệ Thần kinh và/hoặc tổn thương hệ Xương - Khớp</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Ghi chú: Tổn thương trong Mục 2.3 và 2.4 có diện tích sẹo trên 1% diện tích cơ thể được cộng 2% đối với vùng da kín, và 5% đối với vùng da hở (cộng lùi).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Sẹo vùng tầng sinh môn - sinh dục: Áp dụng Bảng tỷ lệ tổn thương cơ thể do tổn thương hệ Tiết niệu - Sinh dục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Rối loạn trên vùng sẹo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Các vết loét, vết dò không liền do rối loạn dinh dưỡng vùng sẹo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3.1.1. Đường kính vết loét dưới 1,5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1 - 2</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3.1.2. Đường kính vết loét từ 1,5 cm đến dưới 3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3.1.3. Đường kính vết loét từ 3 cm đến dưới 5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3.1.4. Đường kính vết loét từ 5 đến 10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3.1.5. Đường kính vết loét trên 10 cm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Bỏng buốt, sẹo lồi, sẹo đổi màu, sẹo viêm: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Nếu do nguyên nhân thần kinh: Áp dụng Bảng tỷ lệ tổn thương cơ thể do tổn thương Xương sọ và hệ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Mảnh kim khí ở phần mềm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Còn mảnh kim khí không để lại di chứng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1 - 3</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Vết thương phần mềm còn mảnh kim khí gây ảnh hưởng chức năng, chức phận của bộ phận mang mảnh: Tỷ lệ được tính theo di chứng chức năng của cơ quan bộ phận đó</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móng tay, móng chân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Móng tay hoặc móng chân bị đổi màu, sần sùi có vằn ngang dọc hoặc viêm quanh móng điều trị không kết quả hay tái phát (một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 Từ một đến ba móng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1 - 4</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 Từ bốn đến năm móng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5.2. Cụt, rụng móng tay hoặc móng chân của một chi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 Từ một đến ba móng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 Từ bốn đến năm móng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VIII. Tỷ lệ tổn thương cơ thể do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Tổn thương hai mắt ảnh hưởng đến thị lực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Căn cứ vào thị lực, áp dụng Bảng tỷ lệ tổn thương cơ thể do giảm thị lực vì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Mất chức năng hai mắt (thị lực từ sáng tối âm tính đến đếm ngón tay từ 3 m trở xuống)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81 - 85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Một mắt khoét bỏ nhãn cầu, một mắt mất chức năng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Mù tuyệt đối hai mắt (thị lực sáng tối âm tính)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Một mắt khoét bỏ nhãn cầu (không lắp được mắt giả), một mắt mất chức năng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88 - 89</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Khoét bỏ hai nhãn cầu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Khoét bỏ hai nhãn cầu không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Tổn thương một mắt ảnh hưởng đến thị lực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Căn cứ vào thị lực, áp dụng Bảng tỷ lệ tổn thương cơ thể do giảm thị lực vì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Mù một mắt (mắt còn lại bình thường), nếu chưa khoét bỏ nhãn cầu</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Khoét bỏ nhãn cầu, lắp được mắt giả</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Đã khoét bỏ một nhãn cầu, không lắp được mắt giả (do biến dạng mi, cạn cùng đồ, vỡ thành xương hốc mắt), ảnh hưởng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Đục nhân mắt do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Chưa mổ: Căn cứ vào thị lực áp dụng Bảng tỷ lệ tổn thương cơ thể do giảm thị lực vì tổn thương cơ quan thị giác và cộng lùi 10%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3.2. Đã mổ: Căn cứ vào thị lực áp dụng Bảng tỷ lệ tổn thương cơ thể vì giảm thị lực do tổn thương cơ quan thị giác và cộng lùi 10% vì mất điều tiết sau mổ nhưng không được quá 41%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Tổn thương ngoài nhãn cầu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Tắc lệ đạo, rò lệ đạo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 Tắc (đã hoặc chưa phẫu thuật)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 Rò lệ đạo</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4.1.2.1. Đã phẫu thuật kết quả tốt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4.1.2.2. Đã phẫu thuật kết quả không tốt hoặc chưa phẫu thuật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Khuyết xương thành hốc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Rò viêm xương thành hốc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 Sẹo co kéo hở mi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chức năng thị giác do tổn thương thần kinh chi phối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Mù não chấn thương một mắt hoặc hai mắt (tổn thương trung khu thần kinh thị giác nằm ở thùy chẩm được xác định bằng chẩn đoán hình ảnh): Tỷ lệ theo Bảng tỷ lệ tổn thương cơ thể do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Thị trường thu hẹp (do tổn thương não vùng chẩm trong chấn thương)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 Thị trường còn khoảng 30° xung quanh điểm cố định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5.2.1.1. Thị trường thu hẹp ở một bên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5.2.1.2. Thị trường thu hẹp cả hai bên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 Thị trường còn khoảng 10° xung quanh điểm cố định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5.2.2.1. Ở một bên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5.2.2.2. Ở cả hai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 Ám điểm trung tâm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5.3.1. Ám điểm ở một bên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5.3.2. Ám điểm ở cả hai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 Bán manh (do tổn thương ở giao thoa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 Bán manh vẫn giữ được sức nhìn (thị lực trung tâm)</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5.4.1.1. Bán manh cùng bên (phải hoặc trái)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5.4.1.2. Bán manh khác bên phía mũi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5.4.1.3. Bán manh khác bên phía hai thái dương</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5.4.1.4. Bán manh góc 1/4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5.4.1.5. Bán manh góc 1/4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5.4.1.6. Bán manh ngang trên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5.4.1.7. Bán manh ngang dưới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5.4.2. Bán manh kèm theo mất thị lực trung tâm một bên hay cả hai bên: Tỷ lệ theo Bảng tỷ lệ tổn thương cơ thể do tổn thương cơ quan thị giác nhưng tối đa không quá 81%</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 Song thị</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5.5.1. Song thị ở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5.5.2. Song thị cả hai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 Rối loạn sắc giác và thích nghi bóng tối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5.7. Sụp mi một mắt (do tổn thương dây thần kinh số III)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5.7.1. Độ 1: Sụp mi che giác mạc &gt; 2 mm: Căn cứ vào thị lực áp dụng Bảng tỷ lệ tổn thương cơ thể do tổn thương cơ quan thị giác, cộng lùi 5% do ảnh hưởng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5.7.2. Độ 2: Sụp mi che giác mạc đến trên đồng tử: Căn cứ vào thị lực, áp dụng Bảng tỷ lệ tổn thương cơ thể do tổn thương cơ quan thị giác, cộng lùi 5% do ảnh hưởng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5.7.3. Độ 3: Sụp mi che giác mạc qua bờ đông từ phía dưới: Căn cứ vào thị lực, áp dụng Bảng tỷ lệ tổn thương cơ thể do tổn thương cơ quan thị giác, cộng </w:t>
            </w:r>
            <w:r w:rsidRPr="00F1032B">
              <w:rPr>
                <w:rFonts w:ascii="Times New Roman" w:eastAsia="Times New Roman" w:hAnsi="Times New Roman" w:cs="Times New Roman"/>
                <w:color w:val="000000"/>
                <w:sz w:val="26"/>
                <w:szCs w:val="26"/>
              </w:rPr>
              <w:lastRenderedPageBreak/>
              <w:t>lùi 10% do ảnh hưởng thẩm mỹ</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5.8. Dính mi cầu không còn khả năng phục hồi: Căn cứ vào thị lực áp dụng Bảng tỷ lộ tổn thương cơ thể do tổn thương cơ quan thị giác và cộng lùi 5% - 10% do ảnh hưởng thẩm mỹ và khô mắt không phục hồi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5.9. Liệt điều tiết và liệt cơ co đồng tử</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5.9.1. Một bên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5.9.2. Cả hai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5.10. Rung giật nhãn cầu đơn thuần</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5.10.1. Rung giật ở một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5.10.2. Rung giật cả hai mắt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5.11. Liệt một hay nhiều dây thần kinh vận động nhãn cầu (dây số III - nhánh vận động nhãn cầu; số IV; số VI): Áp dụng Bảng tỷ lệ tổn thương cơ thể do tổn thương Xương sọ và hệ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5.12. Tổn thương nhánh 1 dây thần kinh số V: Áp dụng Bảng tỷ lệ tổn thương cơ thể do tổn thương Xương sọ và hệ Thần kinh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5.13. Viêm giác mạc: Căn cứ vào thị lực áp dụng Bảng tỷ lệ tổn thương cơ thể do tổn thương cơ quan thị giác. Tỷ lệ tổn thương cơ thể do giảm thị lực tối đa không quá 45% cộng cả tỷ lệ ở Mục 5.12</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5.14. Teo dây thần kinh thị giác (dây thần kinh số II): Căn cứ vào thị lực áp dụng Bảng tỷ lệ tổn thương cơ thể do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Tổn thương võng mạc: Căn cứ vào thị lực áp dụng Bảng tỷ lệ tổn thương cơ thể do giảm thị lực vì tổn thương cơ quan thị giác</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Sẹo giác mạc: Căn cứ vào thị lực áp dụng Bảng tỷ lệ tổn thương cơ thể do tổn thương cơ quan thị giác và cộng thêm (cộng lùi) 5% -10%</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Tổn hại môi trường trong suốt (thủy dịch - thủy tinh dịch)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Chấn thương nhãn cầu còn dị vật nội nhãn không thể lấy được gây chứng mất bị nhiễm đồng hoặc sắt</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8.2. Tổ chức hóa dịch kính</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Ghi chú: Mục 8: Căn cứ thị lực, áp dụng thị lực tính theo Bảng tỷ lệ tổn thương cơ thể do tổn thương cơ quan thị giác và cộng lùi 5% - 10% vì nguy cơ ảnh hưởng thị lực và kích thích viêm lâu dài</w:t>
            </w:r>
          </w:p>
        </w:tc>
        <w:tc>
          <w:tcPr>
            <w:tcW w:w="600" w:type="pct"/>
            <w:tcBorders>
              <w:top w:val="nil"/>
              <w:left w:val="nil"/>
              <w:bottom w:val="single" w:sz="8" w:space="0" w:color="auto"/>
              <w:right w:val="single" w:sz="8" w:space="0" w:color="auto"/>
            </w:tcBorders>
            <w:shd w:val="clear" w:color="auto" w:fill="FFFFFF"/>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TỶ LỆ TỔN THƯƠNG CƠ THỂ DO GIẢM THỊ LỰC VÌ TỔN THƯƠNG CƠ QUAN THỊ GIÁC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Giao điểm của 2 trục tung - trục hoành là tỷ lệ % tổn thương cơ thể chung của 2 mắt do giảm thị lực (sau khi dã được chỉnh kính). Thị lực của mỗi mắt được biểu diễn trên 1 trục (trục tung hoặc trục hoành) phân ra các độ 8/10 - 10/10 (bình thường). 7/10 - 6/10 (giảm rất nhẹ), 5/10,4/10 ... đến sáng - tối (ST) âm tính. Thị lực đếm ngón tay 3m trở xuống được coi là mù.</w:t>
      </w:r>
    </w:p>
    <w:tbl>
      <w:tblPr>
        <w:tblW w:w="5000" w:type="pct"/>
        <w:tblCellSpacing w:w="0" w:type="dxa"/>
        <w:shd w:val="clear" w:color="auto" w:fill="FFFFFF"/>
        <w:tblCellMar>
          <w:left w:w="0" w:type="dxa"/>
          <w:right w:w="0" w:type="dxa"/>
        </w:tblCellMar>
        <w:tblLook w:val="04A0"/>
      </w:tblPr>
      <w:tblGrid>
        <w:gridCol w:w="1584"/>
        <w:gridCol w:w="892"/>
        <w:gridCol w:w="693"/>
        <w:gridCol w:w="693"/>
        <w:gridCol w:w="692"/>
        <w:gridCol w:w="791"/>
        <w:gridCol w:w="791"/>
        <w:gridCol w:w="791"/>
        <w:gridCol w:w="791"/>
        <w:gridCol w:w="791"/>
        <w:gridCol w:w="891"/>
      </w:tblGrid>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Thị lực</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10/10</w:t>
            </w:r>
          </w:p>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8/10</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7/10</w:t>
            </w:r>
          </w:p>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6/10</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5/10</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4/10</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3/10</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2/10</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1/10</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1/20</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dưới</w:t>
            </w:r>
          </w:p>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1/20</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w:t>
            </w:r>
          </w:p>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10/10 - 8/10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0</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7/10 - 6/10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r w:rsidR="00F1032B" w:rsidRPr="00F1032B" w:rsidTr="00F1032B">
        <w:trPr>
          <w:tblCellSpacing w:w="0" w:type="dxa"/>
        </w:trPr>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1/20</w:t>
            </w:r>
          </w:p>
        </w:tc>
        <w:tc>
          <w:tcPr>
            <w:tcW w:w="4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35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c>
          <w:tcPr>
            <w:tcW w:w="4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r>
      <w:tr w:rsidR="00F1032B" w:rsidRPr="00F1032B" w:rsidTr="00F1032B">
        <w:trPr>
          <w:tblCellSpacing w:w="0" w:type="dxa"/>
        </w:trPr>
        <w:tc>
          <w:tcPr>
            <w:tcW w:w="8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ST (-)</w:t>
            </w:r>
          </w:p>
        </w:tc>
        <w:tc>
          <w:tcPr>
            <w:tcW w:w="4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w:t>
            </w:r>
          </w:p>
        </w:tc>
        <w:tc>
          <w:tcPr>
            <w:tcW w:w="3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c>
          <w:tcPr>
            <w:tcW w:w="3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w:t>
            </w:r>
          </w:p>
        </w:tc>
        <w:tc>
          <w:tcPr>
            <w:tcW w:w="35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w:t>
            </w:r>
          </w:p>
        </w:tc>
        <w:tc>
          <w:tcPr>
            <w:tcW w:w="450"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5000" w:type="pct"/>
        <w:tblCellSpacing w:w="0" w:type="dxa"/>
        <w:shd w:val="clear" w:color="auto" w:fill="FFFFFF"/>
        <w:tblCellMar>
          <w:left w:w="0" w:type="dxa"/>
          <w:right w:w="0" w:type="dxa"/>
        </w:tblCellMar>
        <w:tblLook w:val="04A0"/>
      </w:tblPr>
      <w:tblGrid>
        <w:gridCol w:w="8261"/>
        <w:gridCol w:w="1139"/>
      </w:tblGrid>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IX. Tỷ lệ tổn thương cơ thể do tổn thương Răng - Hàm - Mặt</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Xương hàm, gò má, cung tiếp và khớp thái dương - hàm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1.1. Gãy xương hàm trên; gãy xương hàm dưới; gãy xương gò má, cung tiếp </w:t>
            </w:r>
            <w:r w:rsidRPr="00F1032B">
              <w:rPr>
                <w:rFonts w:ascii="Times New Roman" w:eastAsia="Times New Roman" w:hAnsi="Times New Roman" w:cs="Times New Roman"/>
                <w:color w:val="000000"/>
                <w:sz w:val="26"/>
                <w:szCs w:val="26"/>
              </w:rPr>
              <w:lastRenderedPageBreak/>
              <w:t>can tốt, không ảnh hưởng chức năng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6 - 10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 Gẫy xương hàm trên hoặc xương hàm dưới can xấu, gây sai khớp cắn</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Gãy cả xương hàm trên và xương hàm dưới can tốt</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Gãy cả xương hàm trên và xương hàm dưới can xấu, gây sai khớp cắn</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Gãy xương gò má cung tiếp can xấu</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Mất một phần xương hàm trên hoặc một phần xương hàm dưới từ cành cao trở xuống (đã tính cả tỷ lệ mất răng)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Mất một phần xương hàm trên và một phần xương hàm dưới từ cành cao trở xuống (đã tính cả tỷ lệ mất răng)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1.7.1. Cùng bên</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1.7.2. Khác bên</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 Mất toàn bộ xương hàm trên hoặc xương hàm dưới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 Tổn thương xương hàm, khớp thái dương hàm gây dính khớp hạn chế há miệng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1.9.1. Từ 1,5 đến 3 cm</w:t>
            </w:r>
          </w:p>
        </w:tc>
        <w:tc>
          <w:tcPr>
            <w:tcW w:w="600" w:type="pct"/>
            <w:tcBorders>
              <w:top w:val="single" w:sz="8" w:space="0" w:color="auto"/>
              <w:left w:val="nil"/>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1.9.2. Dưới 1,5 cm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Răng (tính cho răng vĩnh viễn)</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Mất một răng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 Mất răng cửa, răng nanh (số 1, 2, 3)</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Mất răng hàm nhỏ (số 4, 5)</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 Mất răng hàm lớn số 7</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2.1.4. Mất răng hàm lớn số 6</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Mất từ 2 đến 8 răng ở cả hai hàm thì tính tỷ lệ theo Mục 2.1</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Nếu không lắp được răng giả tỷ lệ nhân đôi.</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Nếu đã lắp răng giả tỷ lệ tính bằng 50% mất răng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2.3. Mất từ 8 đến 19 răng ở cả hai hàm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15 - 18</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Mất toàn bộ một hàm hoặc mất từ 20 răng trở lên ở cả hai hàm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Mất toàn bộ răng hai hàm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Phần mềm</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Khuyết hồng lớn ở xung quanh hốc miệng, tổn thương mũi, má nhưng chưa được phẫu thuật tạo hình làm trở ngại đến ăn, uống, nói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Lưỡi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Mất một phần nhỏ đầu lưỡi, ảnh hưởng đến ăn, nói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Mất một nửa đến hai phần ba lưỡi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Mất ba phần tư lưỡi, kể từ đường gai chữ V trở ra (còn gốc lưỡi)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Tổn thương hệ thống tuyến nước bọt</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Gây hậu quả khô miệng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Gây rò kéo dài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 Tỷ lệ tổn thương cơ thể do tổn thương Tai - Mũi - Họng</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Nghe kém hai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Nghe kém nhẹ hai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Nghe kém nhẹ một tai - trung bình một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Nghe kém nhẹ một tai - nặng một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single" w:sz="8" w:space="0" w:color="auto"/>
              <w:left w:val="single" w:sz="8" w:space="0" w:color="auto"/>
              <w:bottom w:val="nil"/>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 Nghe kém nhẹ một tai - quá nặng một tai</w:t>
            </w:r>
          </w:p>
        </w:tc>
        <w:tc>
          <w:tcPr>
            <w:tcW w:w="600" w:type="pct"/>
            <w:tcBorders>
              <w:top w:val="single" w:sz="8" w:space="0" w:color="auto"/>
              <w:left w:val="single" w:sz="8" w:space="0" w:color="auto"/>
              <w:bottom w:val="nil"/>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single" w:sz="8" w:space="0" w:color="auto"/>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 Nghe kém trung bình hai tai</w:t>
            </w:r>
          </w:p>
        </w:tc>
        <w:tc>
          <w:tcPr>
            <w:tcW w:w="600" w:type="pct"/>
            <w:tcBorders>
              <w:top w:val="single" w:sz="8" w:space="0" w:color="auto"/>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1.1.5.1. Mức độ I (thiếu hụt thính lực từ 36 đến 45%)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1.1.5.2. Mức độ II (thiếu hụt thính lực từ 46 đến 55%)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1.1.6. Nghe kém trung bình một tai - nghe kém nặng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1.1.7. Nghe kém trung bình một tai - nghe kém rất nặng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 Nghe kém nặng hai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1.1.8.1. Mức độ I (thiếu hụt thính lực từ 56 đến 65%)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1.1.8.2. Mức độ II (thiếu hụt thính lực từ 66 đến 75%)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46 - 50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1.1.9. Nghe kém nặng một tai - Nghe kém quá nặng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51 - 55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1.1.10. Nghe kém quá nặng hai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1.1.10.1. Mức độ I (thiếu hụt thính lực từ 76 đến 95%)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1.1.10.2 Mức độ II (thiếu hụt thính lực 100%)</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Nghe kém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 Nghe kém nhẹ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 Nghe kém trung bình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 Nghe kém nặng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 Nghe kém quá nặng một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Sẹo thủng màng nhĩ hay sẹo xơ dính màng nhĩ do sóng nổ làm giảm sức nghe. Xác định tỷ lệ theo mức độ nghe kém</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Viêm tai giữa mạn tính sau chấn thương sóng nổ gây tổn thương tai giữa Tỷ lệ theo sức nghe và cộng thêm từ 5 đến 10% (cộng lùi) tùy theo viêm tai giữa một bên hay hai bên, có kèm theo Cholesteatome cộng thêm từ 11 đến 15 % (cộng lùi)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Vết thương vành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 Mất một phần một vành tai hoặc sẹo co rúm một vành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1.5.2. Mất hoàn toàn một vành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1.5.3. Mất hoàn toàn hai vành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Sẹo chít hẹp ống tai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1.6.1. Sẹo làm hẹp ống tai một bên (hạn chế âm thanh)</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3 - 6</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1.6.2. Sẹo làm hẹp ống tai hai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1.6.3. Nếu ống tai bị bít kín tỷ lệ tính theo mức độ nghe kém cộng lùi tỷ lệ ống tai bị bịt kín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1.6.4. Nếu ống tai bị bít kín gây viêm ống tai ngoài thì cộng từ 5 đến 7% ở từng bên tai (cộng lùi)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Vỡ xương đá không để lại di chứng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 Vỡ xương đá để lại di chứng: Tỷ lệ Mục 1.7 cộng tỷ lệ di chứng (cộng lùi)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Mũi xoang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Khuyết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2.1.1. Khuyết một phần mũi ảnh hưởng ít thẩm mỹ</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5 - 9</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2.1.2. Khuyết một phần mũi có chỉ định ghép da</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2.1.3. Khuyết một phần mũi có chỉ định ghép da và sụn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2.1.4. Khuyết nửa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2.1.5. Khuyết hoàn toàn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 Sẹo chít hẹp lỗ mũi (do chấn thương) ảnh hưởng đến thở</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2.2.1. Sẹo chít hẹp một lỗ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2.2.2. Sẹo bít cả một lỗ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2.2.3. Sẹo chít hẹp hai lỗ mũi, ảnh hưởng nhiều đến thở, ngửi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2.2.4. Sẹo bít hoàn toàn cả hai lỗ mũi phải thở bằng mồm</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Tổn thương tháp mũi (Gẫy, sập xương sống mũi, vẹo vách ngăn)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2.3.1. Không ảnh hưởng đến chức năng thở và ngửi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2.3.2. Ảnh hưởng nhiều đến thở và ngửi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Rối loạn khứu giác một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2.4.1. Rối loạn khứu giác một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2.4.2. Mất khứu giác hoàn toàn một bên</w:t>
            </w:r>
          </w:p>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Tỷ lệ được cộng lùi từ 5 đến 10% đối với những nghề đặc biệt sử dụng khứu giác (sản xuất nước hoa, hương liệu, nấu ăn....)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Viêm mũi teo (Trĩ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2.5.1. Viêm mũi teo một bên mũi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2.5.2. Viêm mũi teo hai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31 - 35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Chấn thương xoang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2.6.1. Vỡ rạn hay lún thành xoang hàm hoặc xoang trán không di lệch</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2.6.2. Mất một phần hay vỡ di lệch thành xoang hàm hoặc xoang trán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2.6.3. Chấn thương phức hợp mũi - sàng (vỡ kín mũi - sàng - bướm) cộng lùi với các tổn thương phối hợp đi kèm của các cơ quan khác</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36 - 40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 Chấn thương sọ - mặt (tầng trên, giữa, dưới) theo tỷ lệ tổn thương các chức năng liên quan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 Viêm xoang sau chấn thương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2.8.1. Viêm đơn xoang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2.8.1.1. Một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6 - 10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2.8.1.2 Hai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2.8.2. Viêm đa xoang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2.8.2.1. Một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 2.2. Hai bên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2.8.3. Viêm xoang còn dị vật nằm trong xoang (chưa lấy ra được hoặc mổ không lấy ra được) hoặc có lỗ rò: Tỷ lệ Mục 2.8.1 hoặc 2.8.2 cộng lùi 5%</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Họng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Sẹo làm hẹp họng, hạ họng ảnh hưởng đến nuốt nhẹ (khó nuốt chất đặc)</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3.2. Sẹo làm hẹp họng, hạ họng ảnh hưởng khó nuốt (khó nuốt chất lỏng)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Ăn qua ống thông dạ dày (sonde) hoặc phải mở thông dạ dày do không ăn được qua đường họng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71 - 75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Mất vị giác: Áp dụng Bảng tỷ lệ tổn thương cơ thể do tổn thương Xương sọ và hệ Thần kinh</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Thanh quản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Rối loạn tiếng nói do tổn thương của thanh quản - họng hoặc các cơ vùng cổ</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 Nói khó</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4.1.1.1. Nói khó mức độ nhẹ (câu ngắn)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16 - 20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4.1.1.2. Nói khó mức độ vừa (từng tiếng)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26 - 30</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4.1.1.3. Nói khó mức độ nặng (không rõ tiếng)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4.1.2. Không nói được phải giao tiếp bằng hình thức khác</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Rối loạn giọng nói (do tổn thương nội thanh quản - dây thanh)</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4.2.1. Nói khản giọng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11 - 15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4.2.2. Nói không rõ tiếng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4.2.3. Mất tiếng</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Ghi chú: Tỷ lệ được cộng lùi thêm 10% đối với những nghề hoạt động giao tiếp hàng ngày chủ yếu bằng tiếng nói (ca sĩ, diễn viên, phát thanh viên, giáo viên, nhạc công bộ hơi...)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Rối loạn hô hấp (khó thở thanh quản)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4.3.1. Khó thở nhẹ (chỉ xuất hiện khi hoạt động gắng sức đặc biệt)</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21 - 25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4.3.2. Khó thở vừa (trung bình: khó thở xuất hiện khi gắng sức nhẹ)</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41 - 45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4.3.3. Khó thở nặng (khó thở thường xuyên, kể cả khi nghỉ ngơi)</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61 - 65</w:t>
            </w:r>
          </w:p>
        </w:tc>
      </w:tr>
      <w:tr w:rsidR="00F1032B" w:rsidRPr="00F1032B" w:rsidTr="00F1032B">
        <w:trPr>
          <w:tblCellSpacing w:w="0" w:type="dxa"/>
        </w:trPr>
        <w:tc>
          <w:tcPr>
            <w:tcW w:w="4350" w:type="pct"/>
            <w:tcBorders>
              <w:top w:val="nil"/>
              <w:left w:val="single" w:sz="8" w:space="0" w:color="auto"/>
              <w:bottom w:val="single" w:sz="8" w:space="0" w:color="auto"/>
              <w:right w:val="nil"/>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4.3.4. Phải mở khí quản vĩnh viễn</w:t>
            </w:r>
          </w:p>
        </w:tc>
        <w:tc>
          <w:tcPr>
            <w:tcW w:w="6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Những trường hợp đặc biệt: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Trường hợp bị dính các khớp ngón tay (trừ ngón cái và ngón trỏ) và các khớp ngón chân (trừ ngón cái) thì số tiền bồi thường chỉ bằng 50% số tiền bồi thường quy định trong trường hợp cụt ngón đó.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mất hẳn chức năng của từng bộ phận hoặc hỏng vĩnh viễn chi được coi như mất bộ phận đó hoặc mất chi.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Trường hợp trước khi xảy ra tai nạn, người bị tai nạn chỉ còn một mất và nay mất nốt mát lành cùn lại thì được coi như mất hoàn toàn hai mắt.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Trường hợp người bị tai nạn bị nhiều hơn một loại thương tật thì số tiền bồi thường sẽ là tổng số tiền bồi thường cho từng loại thương tật. Tổng số tiền bồi thường sẽ không vượt quá giới hạn trách nhiệm bảo hiểm theo quy định.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Những trường hợp thương tật không được liệt kê trong Bảng quy định trả tiền bồi thường thiệt hại về sức khỏe, tính mạng sẽ được bồi thường theo tỷ lệ trên cơ sở so sánh tính nghiêm trọng của nó với những trường hợp khác có trong Bảng hoặc được căn cứ vào kết luận của Hội đồng giám định y khoa.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Nạn nhân bị chết nhưng không xác định được tung tích hoặc không có người thừa kế hợp pháp thì số tiền bồi thường căn cứ chi phí thực tế cần thiết để mai táng và phục vụ cho việc lưu trữ tìm tung tích nạn nhân. Tổng số tiền bồi thường không vượt quá giới hạn trách nhiệm bảo hiểm theo quy định.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7" w:name="chuong_pl_7"/>
      <w:r w:rsidRPr="00F1032B">
        <w:rPr>
          <w:rFonts w:ascii="Times New Roman" w:eastAsia="Times New Roman" w:hAnsi="Times New Roman" w:cs="Times New Roman"/>
          <w:b/>
          <w:bCs/>
          <w:color w:val="000000"/>
          <w:sz w:val="26"/>
          <w:szCs w:val="26"/>
        </w:rPr>
        <w:t>PHỤ LỤC VII</w:t>
      </w:r>
      <w:bookmarkEnd w:id="197"/>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8" w:name="chuong_pl_7_name"/>
      <w:r w:rsidRPr="00F1032B">
        <w:rPr>
          <w:rFonts w:ascii="Times New Roman" w:eastAsia="Times New Roman" w:hAnsi="Times New Roman" w:cs="Times New Roman"/>
          <w:color w:val="000000"/>
          <w:sz w:val="26"/>
          <w:szCs w:val="26"/>
        </w:rPr>
        <w:t>BẢNG TỶ LỆ TRẢ TIỀN BỒI THƯỜNG BẢO HIỂM BẮT BUỘC ĐỐI VỚI NGƯỜI LAO ĐỘNG THI CÔNG TRÊN CÔNG TRƯỜNG</w:t>
      </w:r>
      <w:bookmarkEnd w:id="198"/>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 Trường hợp chết hoặc suy giảm khả năng lao động vĩnh viễn từ 81% trở lên được bồi thường 100 triệu đồng, cụ thể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Suy giảm khả năng lao động vĩnh viễn từ 81% trở lên do: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a) Mù hoặc mất hoàn toàn hai mắt.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 Rối loạn tâm thần hoàn toàn không thể chữa được.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 Hỏng hoàn toàn chức năng nhai và nói (câm).</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 Mất hoặc liệt hoàn toàn hai tay (từ vai hoặc khuỷu xuống) hoặc hai chân (từ háng hoặc đầu gối xuống).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 Mất cả hai bàn tay hoặc hai bàn chân, hoặc mất một cánh tay và một bàn chân, hoặc một cánh tay và một cẳng chân, hoặc một bàn tay và một cẳng chân, hoặc một bàn tay và một bàn chân.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e) Mất hoàn toàn khả năng lao động và làm việc (toàn bộ bị tê liệt, bị thương dẫn đến tình trạng nằm liệt giường hoặc dẫn đến tàn tật toàn bộ vĩnh viễn).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g) Cắt toàn bộ một bên phổi và một phần phổi bên kia.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Các trường hợp suy giảm khả năng lao động vĩnh viễn từ 81% trở lên theo kết luận của Hội đồng giám định y khoa (nếu có) hoặc tổng mức độ suy giảm khả năng lao động theo khoản II dưới đây từ 81 % trở lên.</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 Trường hợp suy giảm khả năng lao động dưới 81% được bồi thường 100 triệu đồng nhân với tỷ lệ suy giảm khả năng lao động theo bảng sau:</w:t>
      </w:r>
    </w:p>
    <w:tbl>
      <w:tblPr>
        <w:tblW w:w="5000" w:type="pct"/>
        <w:tblCellSpacing w:w="0" w:type="dxa"/>
        <w:shd w:val="clear" w:color="auto" w:fill="FFFFFF"/>
        <w:tblCellMar>
          <w:left w:w="0" w:type="dxa"/>
          <w:right w:w="0" w:type="dxa"/>
        </w:tblCellMar>
        <w:tblLook w:val="04A0"/>
      </w:tblPr>
      <w:tblGrid>
        <w:gridCol w:w="5696"/>
        <w:gridCol w:w="3704"/>
      </w:tblGrid>
      <w:tr w:rsidR="00F1032B" w:rsidRPr="00F1032B" w:rsidTr="00F1032B">
        <w:trPr>
          <w:tblCellSpacing w:w="0" w:type="dxa"/>
        </w:trPr>
        <w:tc>
          <w:tcPr>
            <w:tcW w:w="3000" w:type="pct"/>
            <w:tcBorders>
              <w:top w:val="single" w:sz="8" w:space="0" w:color="auto"/>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Mức độ suy giảm khả năng lao động</w:t>
            </w:r>
          </w:p>
        </w:tc>
        <w:tc>
          <w:tcPr>
            <w:tcW w:w="1950" w:type="pct"/>
            <w:tcBorders>
              <w:top w:val="single" w:sz="8" w:space="0" w:color="auto"/>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Tỷ lệ suy giảm khả năng lao động</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 CHI TRÊN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Mất một cánh tay từ vai xuống (tháo khớp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Cắt cụt cánh tay từ dưới vai xuống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Cắt cụt một cánh tay từ khuỷu xuống (tháo khớp khuỷu)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Mất trọn một bàn tay hay năm ngón của một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 Mất 4 ngón tay trên một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Mất ngón cái và ngón trỏ</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 Mất 3 ngón tay: Ngón trỏ, ngón giữa và ngón đeo nhẫn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 Mất 1 ngón cái và 2 ngón khác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 Mất 1 ngón cái và 1 ngón khác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 Mất 1 ngón trỏ và 2 ngón khác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 Mất 1 ngón trỏ và 1 ngón giữa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 Mất 1 ngón cái và 1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1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cả đốt ngoài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Mất 1/2 đốt ngoài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Mất 1 ngón, trỏ và 1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1 ngón trỏ</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2 đốt 2 và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đốt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 Mất trọn 1 ngón giữa hoặc ngón đeo nhẫn (cả 1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1 ngón giữa hoặc 1 ngón đeo nhẫn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2 đốt 2 và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đốt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 Mất hoàn toàn 1 ngón út và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cả ngón út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2 đốt 2 và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Mất đốt 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16. Cứng khớp bả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 Cứng khớp khuỷu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 Cứng khớp cổ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19. Gãy tay can lệch hoặc mất xương làm chi ngắn trên 3 cm và chức năng quay sấp ngửa hạn chế hoặc tạo thành khớp giả</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 Gãy xương cánh tay ở cổ giải phẫu, can xấu, hạn chế cử động khớp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21. Gãy xương cánh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tốt, cử động bình thường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xấu, teo cơ</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22. Gãy 2 xương cẳng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23. Gãy 1 xương quay hoặc trụ</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24. Khớp giả 2 xương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 Khớp giả 1 xương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26. Gãy đầu dưới xương quay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 Gãy mỏm trâm quay hoặc trụ</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28. Gãy xương cổ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29. Gãy xương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 Gãy xương đòn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tốt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xấu, cứng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Có chèn ép thần kinh mũ</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31. Gãy xương bả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Gãy vỡ, khuyết phần thân xương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Gãy vỡ ngành ngang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Gãy vỡ phần khớp vai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32. Gãy xương ngón tay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 CHI DƯỚI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33. Mất 1 chân từ háng xuống (tháo khớp háng 1 đùi)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34. Cắt cụt 1 đùi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trên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 giữa hoặc dưới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 Cắt cụt 1 chân từ gối xuống (tháo khớp gối)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36. Tháo khớp cổ chân hoặc mất 1 bàn chân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37. Mất xương sên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 Mất xương gót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39. Mất đoạn xương chày, mác gây khớp giả cẳng chân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 Mất đoạn xương mác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41. Mắt mắt cá chân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Mắt cá ngoài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Mắt cá trong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42. Mất cả 5 ngón chân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43. Mất 4 ngón cả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44. Mất 4 ngón trừ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 Mất 3 ngón, 3-4-5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46. Mất 3 ngón, 1-2-3</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 Mất 1 ngón cái và ngón 2</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48. Mất 1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49. Mất 1 ngón ngoài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 Mất 1 đốt ngón cái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51. Cứng khớp háng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52. Cứng khớp gối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53. Mất phần lớn xương bánh chè và giới hạn nhiều khả năng duỗi cẳng chân trên đùi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54. Gãy chân can lệch hoặc mất xương làm ngắn chi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Ít nhất 5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Từ 3 cm đến dưới 5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 Liệt hoàn toàn dây thần kinh hông khoeo ngoài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56. Liệt hoàn toàn dây thần kinh hông khoeo trong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57. Gãy xương đùi 1/3 giữa hoặc dưới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tốt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xấu, trục lệch, chân dạng hoặc khép, teo cơ (Trường hợp phải mổ được thanh toán mức tối đa)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58. Gãy 1/3 trên hay cổ xương đùi (Trường hợp mổ được thanh toán tối đa)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tốt, trục thẳng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Can xấu, chân vẹo, đi đau, teo cơ</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59. Khớp giả cả xương đùi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 Gãy 2 xương cẳng chân (chày + mác)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61. Gãy xương chày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62. Gãy đoạn mâm chày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63. Gãy xương mác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64. Đứt gân bánh chè</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 Vỡ xương bánh chè (trường hợp mổ thanh toán tối đa)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66. Vỡ xương bánh chè bị cứng khớp gối hoặc teo cơ tứ đầu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67. Đứt gân Achille (đã nối lại)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68. Gãy xương đốt bàn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69. Vỡ xương gót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 Gãy xương thuyền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71. Gãy xương ngón chân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72. Gãy ngành ngang xương mu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73. Gãy ụ ngồi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74. Gãy xương cánh chậu 1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 Gãy xương chậu 2 bên, méo xương chậu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76. Gãy xương cùng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Không rối loạn cơ tròn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Có rối loạn cơ tròn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III. CỘT SỐNG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77. Cắt bỏ cung sau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Của 1 đốt sống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Của 2 đến 3 đốt sống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78. Gãy xẹp thân 1 đốt sống (không liệt tủy)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79. Gãy xẹp thân 2 đốt sống trở lên (không liệt tủy)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 Gãy võ mỏm gai hoặc mỏm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Của 1 đốt sống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Của 2 đến 3 đốt sống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IV. SỌ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81. Khuyết xương sọ (chưa có biểu hiện thần kinh, tâm thần)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Đường kính dưới 6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Đường kính từ 6 đến 10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Đường kính trên 10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82. Rối loạn ngôn ngữ do ảnh hưởng của vết thương đại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Nói ngọng, nói lắp khó khăn ảnh hưởng đến giao tiếp</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Không nói được do tổn hại vùng Broca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Mất khả năng giao dịch bằng chữ viết (mất nhận biết về ngôn ngữ do tổn hại vùng Wernicke)</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83. Lột da đầu toàn hộ (1 phần theo tỉ lệ)</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84. Vết thương sọ não hở</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Xương bị nứt rạn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Lún xương sọ</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Nhiều mảnh xương đi sâu vào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85. Chấn thương sọ não kín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Vỡ vòm sọ (đường rạn nứt thường, lõm hoặc lún xương)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Vỡ xương lan xuống nền sọ không có liệt dây thần kinh ở nền sọ</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Vơ xương lan xuống nền sọ, liệt dây thần kinh ở nền sọ</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86. Chấn thương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Chấn động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Phù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Giập não, dẹp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Chảy máu khoang dưới nhện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Máu tụ trong sọ (ngoài màng cứng, trong màng cứng, trong não)</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V. LỒNG NGỰC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87. Cắt bỏ 1 đến 2 xương sườn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88. Cắt bỏ từ 3 xương sườn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89. Cắt bỏ đoạn mỗi xương sườn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90. Gãy 1 - 2 xương sườn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91. Gãy 3 xương sườn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92. Gãy xương ức đơn thuần (chức năng phân tim và hô hấp bình thường)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93. Mẻ hoặc rạn xương ức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94. Cắt toàn bộ một bên phổi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95. Cắt nhiều thùy phổi ở 2 bên, DTS giảm trên 50%</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96. Cắt nhiều thùy phổi ở 1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97. Cắt 1 thùy phổi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98. Tràn dịch, khí, máu màng phổi (chỉ chọc hút đơn thuần)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99. Tràn khí, máu màng phổi (phải dẫn lưu mổ cầm máu)</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100. Tổn thương các van tim, vách tim do chấn thương (chưa suy tim)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101. Khâu màng ngoài tim: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Phẫu thuật kết quả hạn chế</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Phẫu thuật kết quả tốt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 BỤNG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102. Cắt toàn bộ dạ dày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103. Cắt đoạn dạ dày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104. Cắt gần hết ruột non (còn lại dưới 1 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105. Cắt đoạn ruột non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106. Cắt toàn bộ đại tràng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107. Cắt đoạn đại tràng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108. Cắt bỏ gan phải đơn thuần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109. Cắt bỏ gan trái đơn thuần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110. Cắt phân thùy gan, tùy vị trí, số lượng và kết quả phẫu thuật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111. Cắt bỏ túi mật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112. Cắt bỏ lá lách</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113. Cắt bỏ đuôi tụy, lách</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114. Khâu lỗ thủng dạ dày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115. Khâu lỗ thủng ruột non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116. Khâu lỗ thủng đại tràng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117. Đụng rập gan, khâu gan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118. Khâu vỏ lá lách</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119. Khâu tụy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VII. CƠ QUAN TIẾT NIỆU, SINH DỤC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120. Cắt bỏ 1 thận, thận còn lại bình thường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121. Cắt bỏ 1 thận, thận còn lại bị tổn thương hoặc bệnh lý</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122. Cắt 1 phần thận trái hoặc phải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123. Chấn thương thận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 Nhẹ (không phải xử lý đặc hiệu, theo dõi dưới 5 </w:t>
            </w:r>
            <w:r w:rsidRPr="00F1032B">
              <w:rPr>
                <w:rFonts w:ascii="Times New Roman" w:eastAsia="Times New Roman" w:hAnsi="Times New Roman" w:cs="Times New Roman"/>
                <w:color w:val="000000"/>
                <w:sz w:val="26"/>
                <w:szCs w:val="26"/>
              </w:rPr>
              <w:lastRenderedPageBreak/>
              <w:t>ngày)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Trung bình (phải dùng thuốc đặc trị, theo dõi trên 5 ngày)</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Nặng (có đụng dập, phải can thiệp ngoại khoa)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124. Cắt 1 phần bàng quang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125. Mổ thông bàng quang vĩnh viễn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126. Khâu lỗ thủng bàng quang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127. Mất dương vật và 2 tinh hoàn ở người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Dưới 55 tuổi chưa có con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Dưới 55 tuổi có con rồi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Từ 55 tuổi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128. Cắt bỏ dạ con và buồng trứng 1 bên ở người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Dưới 45 tuổi chưa có con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Dưới 45 tuổi có con rồi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Từ 45 tuổi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129. Cắt vú ở nữ</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Dưới 45 tuổi: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- 1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- 2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Từ 45 tuổi trở lên: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- 1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- 2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VIII. MẮT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130. Mất hoặc mù hoàn toàn 1 mắt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Không lắp được mắt giả</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Lắp được mắt giả</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131. Một mắt thị lực còn đến 1/10</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132. Một mắt thị lực còn từ 2/10 đến 4/10</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133. Một mắt thị lực còn từ 5/10 đến 7/10</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IX. TAI - MŨI - HỌNG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134. Điếc 2 tai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Hoàn toàn không phục hồi được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Nặng (Nói to hoặc thét vào tai còn nghe )</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Vừa (Nói to 1 đến 2 m còn nghe )</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Nhẹ (Nói to 2 đến 4 m còn nghe)</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135. Điếc 1 tai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Hoàn toàn không phục hồi được</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Vừa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Nhẹ</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136. Mất vành tai 2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137. Mất vành tai 1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138. Sẹo rúm vành tai, chít hẹp ống tai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139. Mất mũi, biến dạng mũi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140. Vết thương họng sẹo hẹp ảnh hưởng đến nuốt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 RĂNG - HÀM - MẶT</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141. Mất 1 phần xương hàm trên và 1 phần xương </w:t>
            </w:r>
            <w:r w:rsidRPr="00F1032B">
              <w:rPr>
                <w:rFonts w:ascii="Times New Roman" w:eastAsia="Times New Roman" w:hAnsi="Times New Roman" w:cs="Times New Roman"/>
                <w:color w:val="000000"/>
                <w:sz w:val="26"/>
                <w:szCs w:val="26"/>
              </w:rPr>
              <w:lastRenderedPageBreak/>
              <w:t>hàm dưới từ cành cao trở xuống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Khác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Cùng bên</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142. Mất toàn bộ xương hàm trên hoặc dưới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143. Mất 1 phần xương hàm trên hoặc 1 phần xương hàm dưới (từ 1/3 đến 1/2 bị mất) từ cành cao trở xuống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144. Gãy xương hàm trên và hàm dưới can xấu gây sai khớp cắn nhai, ăn khó</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145. Gãy xương gò má, cung tiếp xương hàm trên hoặc xương hàm dưới gây rối loạn nhẹ khớp cắn và chức năng nhai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146. Khớp hàm giả do không liền xương hay khuyết xương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147. Mất răng: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Trên 8 cái không lắp được răng giả</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Từ 5 đến 7 răng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Từ 3 đến 4 răng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8%</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Từ 1 đến 2 răng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148. Mất 3/4 lưỡi còn gốc lưỡi (từ đường gai V trở ra)</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75%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149. Mất 2/3 lưỡi lừ đầu lưỡi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150. Mất 1/3 lưỡi ảnh hưởng đến phát âm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151. Mất 1 phần nhỏ lưỡi (dưới 1/3) ảnh hưởng đến phát âm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XI. VẾT THƯƠNG PHẦN MỀM, BỎNG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152. Vết thương phần mềm (VTPM) gây đau rát, tê, co kéo, ảnh hưởng đến gân, cơ, mạch máu lớn, thần </w:t>
            </w:r>
            <w:r w:rsidRPr="00F1032B">
              <w:rPr>
                <w:rFonts w:ascii="Times New Roman" w:eastAsia="Times New Roman" w:hAnsi="Times New Roman" w:cs="Times New Roman"/>
                <w:color w:val="000000"/>
                <w:sz w:val="26"/>
                <w:szCs w:val="26"/>
              </w:rPr>
              <w:lastRenderedPageBreak/>
              <w:t>kinh</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12%</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153. VTPM ở ngực, bụng ảnh hưởng đến hô hấp</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154. VTPM để lại sẹo xơ cứng làm biến dạng mắt gây trở ngại đến ăn, nhai và cử động cổ</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155. VTPM khuyết hổng lớn ở chung quanh hốc miệng, vết thương môi và má ảnh hưởng nhiều đến ăn uống.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156. Mất 1 phần hàm ếch làm thông giữa mũi và miệng</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157. Bỏng nông (độ I, độ II)</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dưới 5 cm</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từ 5 đến 15%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trên 15%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158. Bỏng sâu (độ III, độ IV, độ V)</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dưới 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20%</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từ 5 đến 15%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35%</w:t>
            </w:r>
          </w:p>
        </w:tc>
      </w:tr>
      <w:tr w:rsidR="00F1032B" w:rsidRPr="00F1032B" w:rsidTr="00F1032B">
        <w:trPr>
          <w:tblCellSpacing w:w="0" w:type="dxa"/>
        </w:trPr>
        <w:tc>
          <w:tcPr>
            <w:tcW w:w="3000" w:type="pct"/>
            <w:tcBorders>
              <w:top w:val="nil"/>
              <w:left w:val="single" w:sz="8" w:space="0" w:color="auto"/>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Diện tích trên 15%</w:t>
            </w:r>
          </w:p>
        </w:tc>
        <w:tc>
          <w:tcPr>
            <w:tcW w:w="1950" w:type="pct"/>
            <w:tcBorders>
              <w:top w:val="nil"/>
              <w:left w:val="nil"/>
              <w:bottom w:val="single" w:sz="8" w:space="0" w:color="auto"/>
              <w:right w:val="single" w:sz="8" w:space="0" w:color="auto"/>
            </w:tcBorders>
            <w:shd w:val="clear" w:color="auto" w:fill="auto"/>
            <w:hideMark/>
          </w:tcPr>
          <w:p w:rsidR="00F1032B" w:rsidRPr="00F1032B" w:rsidRDefault="00F1032B" w:rsidP="00F1032B">
            <w:pPr>
              <w:spacing w:before="120" w:after="120" w:line="234" w:lineRule="atLeast"/>
              <w:jc w:val="righ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60%</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Những trường hợp đặc biệt:</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 Trường hợp bị dính các khớp ngón tay (trừ ngón cái và ngón trỏ) và các khớp ngón chân (trừ ngón cái) thì số tiền bồi thường chỉ bằng 50% số tiền bồi thường quy định trong trường hợp cụt ngón đó.</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 Trường hợp mất hẳn chức năng của từng bộ phận hoặc hỏng vĩnh viễn chi được coi như mất từng bộ phận đó hoặc mất chi.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 Trong trường hợp trước khi xảy ra tai nạn, người lao động chỉ có một mắt và nay mất nốt mắt lành còn lại thì được coi là suy giảm khả năng lao động vĩnh viễn trên 81%.</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 Trường hợp người bị tai nạn bị nhiều hơn một loại thương tật thì số tiền bồi thường sẽ là tổng số tiền bồi thường cho từng loại thương tật. Tổng số tiền bồi thường sẽ không vượt quá giới hạn trách nhiệm bảo hiểm theo quy định.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xml:space="preserve">5. Những trường hợp suy giảm khả năng lao động không được liệt kê trong Bảng trả tiền bồi thường bảo hiểm này sẽ được bồi thường theo tỷ lệ trên cơ sở so sánh tính nghiêm </w:t>
      </w:r>
      <w:r w:rsidRPr="00F1032B">
        <w:rPr>
          <w:rFonts w:ascii="Times New Roman" w:eastAsia="Times New Roman" w:hAnsi="Times New Roman" w:cs="Times New Roman"/>
          <w:color w:val="000000"/>
          <w:sz w:val="26"/>
          <w:szCs w:val="26"/>
        </w:rPr>
        <w:lastRenderedPageBreak/>
        <w:t>trọng của nó với những trường hợp khác có trong Bảng trả tiền bồi thường bảo hiểm. Trường hợp doanh nghiệp bảo hiểm không xác định được tỷ lệ suy giảm khả năng lao động, việc bồi thường sẽ được căn cứ vào kết luận của Hội đồng giám định y khoa.</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 Trường hợp có sự khác biệt giữa tỷ lệ suy giảm khả năng lao động quy định tại Phụ lục này và kết luận của Hội đồng giám định y khoa thì lấy theo tỷ lệ suy giảm khả năng lao động lớn hơn.</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199" w:name="chuong_pl_8"/>
      <w:r w:rsidRPr="00F1032B">
        <w:rPr>
          <w:rFonts w:ascii="Times New Roman" w:eastAsia="Times New Roman" w:hAnsi="Times New Roman" w:cs="Times New Roman"/>
          <w:b/>
          <w:bCs/>
          <w:color w:val="000000"/>
          <w:sz w:val="26"/>
          <w:szCs w:val="26"/>
        </w:rPr>
        <w:t>PHỤ LỤC VIII</w:t>
      </w:r>
      <w:bookmarkEnd w:id="199"/>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CỘNG HÒA XÃ HỘI CHỦ NGHĨA VIỆT NAM</w:t>
      </w:r>
      <w:r w:rsidRPr="00F1032B">
        <w:rPr>
          <w:rFonts w:ascii="Times New Roman" w:eastAsia="Times New Roman" w:hAnsi="Times New Roman" w:cs="Times New Roman"/>
          <w:b/>
          <w:bCs/>
          <w:color w:val="000000"/>
          <w:sz w:val="26"/>
          <w:szCs w:val="26"/>
        </w:rPr>
        <w:br/>
        <w:t>Độc lập - Tự do - Hạnh phúc</w:t>
      </w:r>
      <w:r w:rsidRPr="00F1032B">
        <w:rPr>
          <w:rFonts w:ascii="Times New Roman" w:eastAsia="Times New Roman" w:hAnsi="Times New Roman" w:cs="Times New Roman"/>
          <w:b/>
          <w:bCs/>
          <w:color w:val="000000"/>
          <w:sz w:val="26"/>
          <w:szCs w:val="26"/>
        </w:rPr>
        <w:br/>
        <w:t>---------------</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tháng.... năm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0" w:name="chuong_pl_8_name"/>
      <w:r w:rsidRPr="00F1032B">
        <w:rPr>
          <w:rFonts w:ascii="Times New Roman" w:eastAsia="Times New Roman" w:hAnsi="Times New Roman" w:cs="Times New Roman"/>
          <w:b/>
          <w:bCs/>
          <w:color w:val="000000"/>
          <w:sz w:val="26"/>
          <w:szCs w:val="26"/>
        </w:rPr>
        <w:t>ĐƠN ĐỀ NGHỊ THÀNH LẬP</w:t>
      </w:r>
      <w:bookmarkEnd w:id="200"/>
      <w:r w:rsidRPr="00F1032B">
        <w:rPr>
          <w:rFonts w:ascii="Times New Roman" w:eastAsia="Times New Roman" w:hAnsi="Times New Roman" w:cs="Times New Roman"/>
          <w:b/>
          <w:bCs/>
          <w:color w:val="000000"/>
          <w:sz w:val="26"/>
          <w:szCs w:val="26"/>
        </w:rPr>
        <w:br/>
      </w:r>
      <w:bookmarkStart w:id="201" w:name="chuong_pl_8_name_name"/>
      <w:r w:rsidRPr="00F1032B">
        <w:rPr>
          <w:rFonts w:ascii="Times New Roman" w:eastAsia="Times New Roman" w:hAnsi="Times New Roman" w:cs="Times New Roman"/>
          <w:b/>
          <w:bCs/>
          <w:color w:val="000000"/>
          <w:sz w:val="26"/>
          <w:szCs w:val="26"/>
        </w:rPr>
        <w:t>HỘI ĐỒNG QUẢN LÝ QUỸ BẢO HIỂM XE CƠ GIỚI</w:t>
      </w:r>
      <w:bookmarkEnd w:id="201"/>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Kính gửi: Bộ trưởng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Căn cứ Nghị định số ..../2023/NĐ-CP ngày   /   /2023 của Chính phủ quy định về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Đề nghị Bộ Tài chính chấp thuận cho Hiệp hội Bảo hiểm Việt Nam thành lập Hội đồng quản lý Quỹ bảo hiểm xe cơ giới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Tên tổ chức được thành lập:</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Địa chỉ:</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Nội dung hoạt động: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Hiệp hội bảo hiểm Việt Nam sẽ hoàn tất các thủ tục liên quan và cam kết chịu trách nhiệm về sự chính xác và tuân thủ quy định pháp luật của Đơn này và hồ sơ kèm theo.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br/>
            </w:r>
            <w:r w:rsidRPr="00F1032B">
              <w:rPr>
                <w:rFonts w:ascii="Times New Roman" w:eastAsia="Times New Roman" w:hAnsi="Times New Roman" w:cs="Times New Roman"/>
                <w:color w:val="000000"/>
                <w:sz w:val="26"/>
                <w:szCs w:val="26"/>
              </w:rPr>
              <w:t>Hồ sơ kèm theo:</w:t>
            </w:r>
            <w:r w:rsidRPr="00F1032B">
              <w:rPr>
                <w:rFonts w:ascii="Times New Roman" w:eastAsia="Times New Roman" w:hAnsi="Times New Roman" w:cs="Times New Roman"/>
                <w:color w:val="000000"/>
                <w:sz w:val="26"/>
                <w:szCs w:val="26"/>
              </w:rPr>
              <w:br/>
              <w:t>- Liệt kê rõ tài liệu kèm theo.</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CHỦ TỊCH</w:t>
            </w:r>
            <w:r w:rsidRPr="00F1032B">
              <w:rPr>
                <w:rFonts w:ascii="Times New Roman" w:eastAsia="Times New Roman" w:hAnsi="Times New Roman" w:cs="Times New Roman"/>
                <w:b/>
                <w:bCs/>
                <w:color w:val="000000"/>
                <w:sz w:val="26"/>
                <w:szCs w:val="26"/>
              </w:rPr>
              <w:br/>
              <w:t>HIỆP HỘI BẢO HIỂM VIỆT NAM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tên và đóng dấu)</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2" w:name="chuong_pl_9"/>
      <w:r w:rsidRPr="00F1032B">
        <w:rPr>
          <w:rFonts w:ascii="Times New Roman" w:eastAsia="Times New Roman" w:hAnsi="Times New Roman" w:cs="Times New Roman"/>
          <w:b/>
          <w:bCs/>
          <w:color w:val="000000"/>
          <w:sz w:val="26"/>
          <w:szCs w:val="26"/>
        </w:rPr>
        <w:t>PHỤ LỤC IX</w:t>
      </w:r>
      <w:bookmarkEnd w:id="202"/>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(Kèm theo Nghị định số 67/2023/NĐ-CP ngày 06 tháng 9 năm 2023 của Chính phủ)</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CỘNG HÒA XÃ HỘI CHỦ NGHĨA VIỆT NAM</w:t>
      </w:r>
      <w:r w:rsidRPr="00F1032B">
        <w:rPr>
          <w:rFonts w:ascii="Times New Roman" w:eastAsia="Times New Roman" w:hAnsi="Times New Roman" w:cs="Times New Roman"/>
          <w:b/>
          <w:bCs/>
          <w:color w:val="000000"/>
          <w:sz w:val="26"/>
          <w:szCs w:val="26"/>
        </w:rPr>
        <w:br/>
        <w:t>Độc lập - Tự do - Hạnh phúc</w:t>
      </w:r>
      <w:r w:rsidRPr="00F1032B">
        <w:rPr>
          <w:rFonts w:ascii="Times New Roman" w:eastAsia="Times New Roman" w:hAnsi="Times New Roman" w:cs="Times New Roman"/>
          <w:b/>
          <w:bCs/>
          <w:color w:val="000000"/>
          <w:sz w:val="26"/>
          <w:szCs w:val="26"/>
        </w:rPr>
        <w:br/>
        <w:t>---------------</w:t>
      </w:r>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tháng.... năm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3" w:name="chuong_pl_9_name"/>
      <w:r w:rsidRPr="00F1032B">
        <w:rPr>
          <w:rFonts w:ascii="Times New Roman" w:eastAsia="Times New Roman" w:hAnsi="Times New Roman" w:cs="Times New Roman"/>
          <w:b/>
          <w:bCs/>
          <w:color w:val="000000"/>
          <w:sz w:val="26"/>
          <w:szCs w:val="26"/>
        </w:rPr>
        <w:t>ĐƠN ĐỀ NGHỊ THAY ĐỔI THÀNH VIÊN</w:t>
      </w:r>
      <w:bookmarkEnd w:id="203"/>
      <w:r w:rsidRPr="00F1032B">
        <w:rPr>
          <w:rFonts w:ascii="Times New Roman" w:eastAsia="Times New Roman" w:hAnsi="Times New Roman" w:cs="Times New Roman"/>
          <w:b/>
          <w:bCs/>
          <w:color w:val="000000"/>
          <w:sz w:val="26"/>
          <w:szCs w:val="26"/>
        </w:rPr>
        <w:br/>
      </w:r>
      <w:bookmarkStart w:id="204" w:name="chuong_pl_9_name_name"/>
      <w:r w:rsidRPr="00F1032B">
        <w:rPr>
          <w:rFonts w:ascii="Times New Roman" w:eastAsia="Times New Roman" w:hAnsi="Times New Roman" w:cs="Times New Roman"/>
          <w:b/>
          <w:bCs/>
          <w:color w:val="000000"/>
          <w:sz w:val="26"/>
          <w:szCs w:val="26"/>
        </w:rPr>
        <w:t>HỘI ĐỒNG QUẢN LÝ QUỸ BẢO HIỂM XE CƠ GIỚI</w:t>
      </w:r>
      <w:bookmarkEnd w:id="204"/>
    </w:p>
    <w:p w:rsidR="00F1032B" w:rsidRPr="00F1032B" w:rsidRDefault="00F1032B" w:rsidP="00F1032B">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Kính gửi: Bộ trưởng Bộ Tài chính.</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Cản cứ Nghị định số ..../2023/NĐ-CP ngày   /   /2023 của Chính phủ quy định về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Đề nghị Bộ Tài chính chấp Thuận cho Hội đồng quản lý Quỹ bảo hiểm xe cơ giới được thay đổi thành viên Hội đồng quản lý Quỹ bảo hiểm xe cơ giới như sau:</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Tên thành viên Hội đồng quản lý Quỹ bảo hiểm xe cơ giới cũ:</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Tên thành viên Hội đồng quản lý Quỹ bảo hiểm xe cơ giới mới: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Lý do thay đổi:</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Hội đồng quản lý Quỹ bảo hiểm xe cơ giới sẽ hoàn tất các thủ tục liên quan và cam kết chịu trách nhiệm về sự chính xác và tuân thủ quy định pháp luật của Đơn này và hồ sơ kèm theo.</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i/>
                <w:iCs/>
                <w:color w:val="000000"/>
                <w:sz w:val="26"/>
                <w:szCs w:val="26"/>
              </w:rPr>
              <w:br/>
            </w:r>
            <w:r w:rsidRPr="00F1032B">
              <w:rPr>
                <w:rFonts w:ascii="Times New Roman" w:eastAsia="Times New Roman" w:hAnsi="Times New Roman" w:cs="Times New Roman"/>
                <w:color w:val="000000"/>
                <w:sz w:val="26"/>
                <w:szCs w:val="26"/>
              </w:rPr>
              <w:t>Hồ sơ kèm theo:</w:t>
            </w:r>
            <w:r w:rsidRPr="00F1032B">
              <w:rPr>
                <w:rFonts w:ascii="Times New Roman" w:eastAsia="Times New Roman" w:hAnsi="Times New Roman" w:cs="Times New Roman"/>
                <w:color w:val="000000"/>
                <w:sz w:val="26"/>
                <w:szCs w:val="26"/>
              </w:rPr>
              <w:br/>
              <w:t>- Liệt kê rõ tài liệu kèm theo.</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CHỦ TỊCH HỘI ĐỒNG QUẢN LÝ</w:t>
            </w:r>
            <w:r w:rsidRPr="00F1032B">
              <w:rPr>
                <w:rFonts w:ascii="Times New Roman" w:eastAsia="Times New Roman" w:hAnsi="Times New Roman" w:cs="Times New Roman"/>
                <w:b/>
                <w:bCs/>
                <w:color w:val="000000"/>
                <w:sz w:val="26"/>
                <w:szCs w:val="26"/>
              </w:rPr>
              <w:br/>
              <w:t>QUỸ BẢO HIỂM XE CƠ GIỚI</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tên và đóng dấu)</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5" w:name="chuong_pl_10"/>
      <w:r w:rsidRPr="00F1032B">
        <w:rPr>
          <w:rFonts w:ascii="Times New Roman" w:eastAsia="Times New Roman" w:hAnsi="Times New Roman" w:cs="Times New Roman"/>
          <w:b/>
          <w:bCs/>
          <w:color w:val="000000"/>
          <w:sz w:val="26"/>
          <w:szCs w:val="26"/>
        </w:rPr>
        <w:t>PHỤ LỤC X</w:t>
      </w:r>
      <w:bookmarkEnd w:id="205"/>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6" w:name="chuong_pl_10_name"/>
      <w:r w:rsidRPr="00F1032B">
        <w:rPr>
          <w:rFonts w:ascii="Times New Roman" w:eastAsia="Times New Roman" w:hAnsi="Times New Roman" w:cs="Times New Roman"/>
          <w:color w:val="000000"/>
          <w:sz w:val="26"/>
          <w:szCs w:val="26"/>
        </w:rPr>
        <w:t>CÁC MẪU BÁO CÁO</w:t>
      </w:r>
      <w:bookmarkEnd w:id="206"/>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(Kèm theo Nghị định số 67/2023/NĐ-CP ngày 06 tháng 9 năm 2023 của Chính phủ)</w:t>
      </w:r>
    </w:p>
    <w:tbl>
      <w:tblPr>
        <w:tblW w:w="5000" w:type="pct"/>
        <w:tblCellSpacing w:w="0" w:type="dxa"/>
        <w:shd w:val="clear" w:color="auto" w:fill="FFFFFF"/>
        <w:tblCellMar>
          <w:left w:w="0" w:type="dxa"/>
          <w:right w:w="0" w:type="dxa"/>
        </w:tblCellMar>
        <w:tblLook w:val="04A0"/>
      </w:tblPr>
      <w:tblGrid>
        <w:gridCol w:w="760"/>
        <w:gridCol w:w="1519"/>
        <w:gridCol w:w="7121"/>
      </w:tblGrid>
      <w:tr w:rsidR="00F1032B" w:rsidRPr="00F1032B" w:rsidTr="00F1032B">
        <w:trPr>
          <w:tblCellSpacing w:w="0" w:type="dxa"/>
        </w:trPr>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Mẫu báo cáo</w:t>
            </w:r>
          </w:p>
        </w:tc>
        <w:tc>
          <w:tcPr>
            <w:tcW w:w="37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Tên Báo cáo</w:t>
            </w:r>
          </w:p>
        </w:tc>
      </w:tr>
      <w:tr w:rsidR="00F1032B" w:rsidRPr="00F1032B" w:rsidTr="00F1032B">
        <w:trPr>
          <w:tblCellSpacing w:w="0" w:type="dxa"/>
        </w:trPr>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Mẫu số 1</w:t>
            </w:r>
          </w:p>
        </w:tc>
        <w:tc>
          <w:tcPr>
            <w:tcW w:w="37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Báo cáo về tình hình thực hiện bảo hiểm bắt buộc trách nhiệm dân sự của chủ xe cơ giới</w:t>
            </w:r>
          </w:p>
        </w:tc>
      </w:tr>
      <w:tr w:rsidR="00F1032B" w:rsidRPr="00F1032B" w:rsidTr="00F1032B">
        <w:trPr>
          <w:tblCellSpacing w:w="0" w:type="dxa"/>
        </w:trPr>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Mẫu số 2</w:t>
            </w:r>
          </w:p>
        </w:tc>
        <w:tc>
          <w:tcPr>
            <w:tcW w:w="37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Báo cáo doanh thu, bồi thường bảo hiểm cháy, nổ bắt buộc</w:t>
            </w:r>
          </w:p>
        </w:tc>
      </w:tr>
      <w:tr w:rsidR="00F1032B" w:rsidRPr="00F1032B" w:rsidTr="00F1032B">
        <w:trPr>
          <w:tblCellSpacing w:w="0" w:type="dxa"/>
        </w:trPr>
        <w:tc>
          <w:tcPr>
            <w:tcW w:w="4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800" w:type="pct"/>
            <w:tcBorders>
              <w:top w:val="single" w:sz="8" w:space="0" w:color="auto"/>
              <w:left w:val="single" w:sz="8" w:space="0" w:color="auto"/>
              <w:bottom w:val="nil"/>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Mẫu số 3</w:t>
            </w:r>
          </w:p>
        </w:tc>
        <w:tc>
          <w:tcPr>
            <w:tcW w:w="3750" w:type="pct"/>
            <w:tcBorders>
              <w:top w:val="single" w:sz="8" w:space="0" w:color="auto"/>
              <w:left w:val="single" w:sz="8" w:space="0" w:color="auto"/>
              <w:bottom w:val="nil"/>
              <w:right w:val="single" w:sz="8" w:space="0" w:color="auto"/>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Báo cáo doanh thu, bồi thường bảo hiểm bắt buộc công trình trong hoạt động đầu tư xây dựng</w:t>
            </w:r>
          </w:p>
        </w:tc>
      </w:tr>
      <w:tr w:rsidR="00F1032B" w:rsidRPr="00F1032B" w:rsidTr="00F1032B">
        <w:trPr>
          <w:tblCellSpacing w:w="0" w:type="dxa"/>
        </w:trPr>
        <w:tc>
          <w:tcPr>
            <w:tcW w:w="4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w:t>
            </w:r>
          </w:p>
        </w:tc>
        <w:tc>
          <w:tcPr>
            <w:tcW w:w="800" w:type="pct"/>
            <w:tcBorders>
              <w:top w:val="single" w:sz="8" w:space="0" w:color="auto"/>
              <w:left w:val="single" w:sz="8" w:space="0" w:color="auto"/>
              <w:bottom w:val="single" w:sz="8" w:space="0" w:color="auto"/>
              <w:right w:val="nil"/>
            </w:tcBorders>
            <w:shd w:val="clear" w:color="auto" w:fill="auto"/>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Mẫu số 4</w:t>
            </w:r>
          </w:p>
        </w:tc>
        <w:tc>
          <w:tcPr>
            <w:tcW w:w="3750"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Báo cáo tình hình thu, nộp từ bảo hiểm cháy, nổ bắt buộc</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right"/>
        <w:rPr>
          <w:rFonts w:ascii="Times New Roman" w:eastAsia="Times New Roman" w:hAnsi="Times New Roman" w:cs="Times New Roman"/>
          <w:color w:val="000000"/>
          <w:sz w:val="26"/>
          <w:szCs w:val="26"/>
        </w:rPr>
      </w:pPr>
      <w:bookmarkStart w:id="207" w:name="chuong_pl_10_1"/>
      <w:r w:rsidRPr="00F1032B">
        <w:rPr>
          <w:rFonts w:ascii="Times New Roman" w:eastAsia="Times New Roman" w:hAnsi="Times New Roman" w:cs="Times New Roman"/>
          <w:b/>
          <w:bCs/>
          <w:color w:val="000000"/>
          <w:sz w:val="26"/>
          <w:szCs w:val="26"/>
        </w:rPr>
        <w:t>Mẫu số 1</w:t>
      </w:r>
      <w:bookmarkEnd w:id="207"/>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08" w:name="chuong_pl_10_1_name"/>
      <w:r w:rsidRPr="00F1032B">
        <w:rPr>
          <w:rFonts w:ascii="Times New Roman" w:eastAsia="Times New Roman" w:hAnsi="Times New Roman" w:cs="Times New Roman"/>
          <w:b/>
          <w:bCs/>
          <w:color w:val="000000"/>
          <w:sz w:val="26"/>
          <w:szCs w:val="26"/>
        </w:rPr>
        <w:t>BÁO CÁO VỀ TÌNH HÌNH THỰC HIỆN BẢO HIỂM BẮT BUỘC TRÁCH NHIỆM DÂN SỰ CỦA CHỦ XE CƠ GIỚI</w:t>
      </w:r>
      <w:bookmarkEnd w:id="208"/>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Tên doanh nghiệp bảo hiểm: ...</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Kỳ báo cáo: Năm ...</w:t>
      </w:r>
    </w:p>
    <w:tbl>
      <w:tblPr>
        <w:tblW w:w="5000" w:type="pct"/>
        <w:tblCellSpacing w:w="0" w:type="dxa"/>
        <w:shd w:val="clear" w:color="auto" w:fill="FFFFFF"/>
        <w:tblCellMar>
          <w:left w:w="0" w:type="dxa"/>
          <w:right w:w="0" w:type="dxa"/>
        </w:tblCellMar>
        <w:tblLook w:val="04A0"/>
      </w:tblPr>
      <w:tblGrid>
        <w:gridCol w:w="580"/>
        <w:gridCol w:w="1744"/>
        <w:gridCol w:w="484"/>
        <w:gridCol w:w="678"/>
        <w:gridCol w:w="484"/>
        <w:gridCol w:w="678"/>
        <w:gridCol w:w="485"/>
        <w:gridCol w:w="679"/>
        <w:gridCol w:w="485"/>
        <w:gridCol w:w="679"/>
        <w:gridCol w:w="485"/>
        <w:gridCol w:w="679"/>
        <w:gridCol w:w="485"/>
        <w:gridCol w:w="775"/>
      </w:tblGrid>
      <w:tr w:rsidR="00F1032B" w:rsidRPr="00F1032B" w:rsidTr="00F1032B">
        <w:trPr>
          <w:tblCellSpacing w:w="0" w:type="dxa"/>
        </w:trPr>
        <w:tc>
          <w:tcPr>
            <w:tcW w:w="300"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90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Loại xe</w:t>
            </w:r>
          </w:p>
        </w:tc>
        <w:tc>
          <w:tcPr>
            <w:tcW w:w="600" w:type="pct"/>
            <w:gridSpan w:val="2"/>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lượng xe</w:t>
            </w:r>
          </w:p>
        </w:tc>
        <w:tc>
          <w:tcPr>
            <w:tcW w:w="600" w:type="pct"/>
            <w:gridSpan w:val="2"/>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(triệu đồng)</w:t>
            </w:r>
          </w:p>
        </w:tc>
        <w:tc>
          <w:tcPr>
            <w:tcW w:w="600" w:type="pct"/>
            <w:gridSpan w:val="2"/>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vụ tai nạn</w:t>
            </w:r>
          </w:p>
        </w:tc>
        <w:tc>
          <w:tcPr>
            <w:tcW w:w="600" w:type="pct"/>
            <w:gridSpan w:val="2"/>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người chết (người)</w:t>
            </w:r>
          </w:p>
        </w:tc>
        <w:tc>
          <w:tcPr>
            <w:tcW w:w="1250" w:type="pct"/>
            <w:gridSpan w:val="4"/>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tiền bồi thường (triệu đồng)</w:t>
            </w:r>
          </w:p>
        </w:tc>
      </w:tr>
      <w:tr w:rsidR="00F1032B" w:rsidRPr="00F1032B" w:rsidTr="00F1032B">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gridSpan w:val="2"/>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gridSpan w:val="2"/>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gridSpan w:val="2"/>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gridSpan w:val="2"/>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600" w:type="pct"/>
            <w:gridSpan w:val="2"/>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Về người</w:t>
            </w:r>
          </w:p>
        </w:tc>
        <w:tc>
          <w:tcPr>
            <w:tcW w:w="600" w:type="pct"/>
            <w:gridSpan w:val="2"/>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Về tài sản</w:t>
            </w:r>
          </w:p>
        </w:tc>
      </w:tr>
      <w:tr w:rsidR="00F1032B" w:rsidRPr="00F1032B" w:rsidTr="00F1032B">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Đầu kỳ</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Cuối kỳ</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mô tô 2 bánh</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mô tô ba bánh, xe gắn máy và các loại xe cơ giới tương tự</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không kinh doanh vận tải </w:t>
            </w:r>
            <w:r w:rsidRPr="00F1032B">
              <w:rPr>
                <w:rFonts w:ascii="Times New Roman" w:eastAsia="Times New Roman" w:hAnsi="Times New Roman" w:cs="Times New Roman"/>
                <w:color w:val="000000"/>
                <w:sz w:val="26"/>
                <w:szCs w:val="26"/>
              </w:rPr>
              <w:t>(Chi tiết từng loại xe theo biểu phí)</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IV</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kinh doanh vận tải </w:t>
            </w:r>
            <w:r w:rsidRPr="00F1032B">
              <w:rPr>
                <w:rFonts w:ascii="Times New Roman" w:eastAsia="Times New Roman" w:hAnsi="Times New Roman" w:cs="Times New Roman"/>
                <w:color w:val="000000"/>
                <w:sz w:val="26"/>
                <w:szCs w:val="26"/>
              </w:rPr>
              <w:t>(Chi tiết từng loại xe theo biểu phí)</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V</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ô tô chở hàng</w:t>
            </w:r>
            <w:r w:rsidRPr="00F1032B">
              <w:rPr>
                <w:rFonts w:ascii="Times New Roman" w:eastAsia="Times New Roman" w:hAnsi="Times New Roman" w:cs="Times New Roman"/>
                <w:color w:val="000000"/>
                <w:sz w:val="26"/>
                <w:szCs w:val="26"/>
              </w:rPr>
              <w:t> (Chi tiết từng loại xe theo biểu phí)</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lastRenderedPageBreak/>
              <w:t>VI</w:t>
            </w:r>
          </w:p>
        </w:tc>
        <w:tc>
          <w:tcPr>
            <w:tcW w:w="9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Xe khác</w:t>
            </w:r>
            <w:r w:rsidRPr="00F1032B">
              <w:rPr>
                <w:rFonts w:ascii="Times New Roman" w:eastAsia="Times New Roman" w:hAnsi="Times New Roman" w:cs="Times New Roman"/>
                <w:color w:val="000000"/>
                <w:sz w:val="26"/>
                <w:szCs w:val="26"/>
              </w:rPr>
              <w:t> (Chi tiết từng loại xe theo biểu phí)</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1200" w:type="pct"/>
            <w:gridSpan w:val="2"/>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Tổng cộng</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2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Chúng tôi xin đảm bảo những thông tin trên là đúng sự thực.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br/>
              <w:t>Người lập biểu</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và ghi rõ họ tên)</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 tháng ... năm ...</w:t>
            </w:r>
            <w:r w:rsidRPr="00F1032B">
              <w:rPr>
                <w:rFonts w:ascii="Times New Roman" w:eastAsia="Times New Roman" w:hAnsi="Times New Roman" w:cs="Times New Roman"/>
                <w:i/>
                <w:iCs/>
                <w:color w:val="000000"/>
                <w:sz w:val="26"/>
                <w:szCs w:val="26"/>
              </w:rPr>
              <w:br/>
            </w:r>
            <w:r w:rsidRPr="00F1032B">
              <w:rPr>
                <w:rFonts w:ascii="Times New Roman" w:eastAsia="Times New Roman" w:hAnsi="Times New Roman" w:cs="Times New Roman"/>
                <w:b/>
                <w:bCs/>
                <w:color w:val="000000"/>
                <w:sz w:val="26"/>
                <w:szCs w:val="26"/>
              </w:rPr>
              <w:t>Người đại diện theo pháp luật</w:t>
            </w:r>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(Ký và đóng dấu)</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right"/>
        <w:rPr>
          <w:rFonts w:ascii="Times New Roman" w:eastAsia="Times New Roman" w:hAnsi="Times New Roman" w:cs="Times New Roman"/>
          <w:color w:val="000000"/>
          <w:sz w:val="26"/>
          <w:szCs w:val="26"/>
        </w:rPr>
      </w:pPr>
      <w:bookmarkStart w:id="209" w:name="chuong_pl_10_2"/>
      <w:r w:rsidRPr="00F1032B">
        <w:rPr>
          <w:rFonts w:ascii="Times New Roman" w:eastAsia="Times New Roman" w:hAnsi="Times New Roman" w:cs="Times New Roman"/>
          <w:b/>
          <w:bCs/>
          <w:color w:val="000000"/>
          <w:sz w:val="26"/>
          <w:szCs w:val="26"/>
        </w:rPr>
        <w:t>Mẫu số 2</w:t>
      </w:r>
      <w:bookmarkEnd w:id="209"/>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10" w:name="chuong_pl_10_2_name"/>
      <w:r w:rsidRPr="00F1032B">
        <w:rPr>
          <w:rFonts w:ascii="Times New Roman" w:eastAsia="Times New Roman" w:hAnsi="Times New Roman" w:cs="Times New Roman"/>
          <w:b/>
          <w:bCs/>
          <w:color w:val="000000"/>
          <w:sz w:val="26"/>
          <w:szCs w:val="26"/>
        </w:rPr>
        <w:t>BÁO CÁO DOANH THU, BỒI THƯỜNG</w:t>
      </w:r>
      <w:bookmarkEnd w:id="210"/>
      <w:r w:rsidRPr="00F1032B">
        <w:rPr>
          <w:rFonts w:ascii="Times New Roman" w:eastAsia="Times New Roman" w:hAnsi="Times New Roman" w:cs="Times New Roman"/>
          <w:b/>
          <w:bCs/>
          <w:color w:val="000000"/>
          <w:sz w:val="26"/>
          <w:szCs w:val="26"/>
        </w:rPr>
        <w:br/>
      </w:r>
      <w:bookmarkStart w:id="211" w:name="chuong_pl_10_2_name_name"/>
      <w:r w:rsidRPr="00F1032B">
        <w:rPr>
          <w:rFonts w:ascii="Times New Roman" w:eastAsia="Times New Roman" w:hAnsi="Times New Roman" w:cs="Times New Roman"/>
          <w:b/>
          <w:bCs/>
          <w:color w:val="000000"/>
          <w:sz w:val="26"/>
          <w:szCs w:val="26"/>
        </w:rPr>
        <w:t>BẢO HIỂM CHÁY, NỔ BẮT BUỘC</w:t>
      </w:r>
      <w:bookmarkEnd w:id="211"/>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Tên doanh nghiệp bảo hiểm: ...</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Kỳ báo cáo: Năm ...</w:t>
      </w:r>
    </w:p>
    <w:tbl>
      <w:tblPr>
        <w:tblW w:w="5000" w:type="pct"/>
        <w:tblCellSpacing w:w="0" w:type="dxa"/>
        <w:shd w:val="clear" w:color="auto" w:fill="FFFFFF"/>
        <w:tblCellMar>
          <w:left w:w="0" w:type="dxa"/>
          <w:right w:w="0" w:type="dxa"/>
        </w:tblCellMar>
        <w:tblLook w:val="04A0"/>
      </w:tblPr>
      <w:tblGrid>
        <w:gridCol w:w="680"/>
        <w:gridCol w:w="1647"/>
        <w:gridCol w:w="775"/>
        <w:gridCol w:w="872"/>
        <w:gridCol w:w="968"/>
        <w:gridCol w:w="1164"/>
        <w:gridCol w:w="1647"/>
        <w:gridCol w:w="581"/>
        <w:gridCol w:w="1066"/>
      </w:tblGrid>
      <w:tr w:rsidR="00F1032B" w:rsidRPr="00F1032B" w:rsidTr="00F1032B">
        <w:trPr>
          <w:tblCellSpacing w:w="0" w:type="dxa"/>
        </w:trPr>
        <w:tc>
          <w:tcPr>
            <w:tcW w:w="350"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8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Danh mục cơ sở (*)</w:t>
            </w:r>
          </w:p>
        </w:tc>
        <w:tc>
          <w:tcPr>
            <w:tcW w:w="40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lượng cơ sở</w:t>
            </w:r>
          </w:p>
        </w:tc>
        <w:tc>
          <w:tcPr>
            <w:tcW w:w="950" w:type="pct"/>
            <w:gridSpan w:val="2"/>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c>
          <w:tcPr>
            <w:tcW w:w="1450" w:type="pct"/>
            <w:gridSpan w:val="2"/>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c>
          <w:tcPr>
            <w:tcW w:w="30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vụ tổn thất</w:t>
            </w:r>
          </w:p>
        </w:tc>
        <w:tc>
          <w:tcPr>
            <w:tcW w:w="5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Tổng số tiền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r>
      <w:tr w:rsidR="00F1032B" w:rsidRPr="00F1032B" w:rsidTr="00F1032B">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gốc</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giữ lại</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 gốc</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 thuộc trách nhiệm giữ lại</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4</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5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 </w:t>
            </w:r>
          </w:p>
        </w:tc>
        <w:tc>
          <w:tcPr>
            <w:tcW w:w="8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8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Doanh nghiệp bảo hiểm báo cáo theo danh mục cơ sở nêu tại khoản 1 Mục I Phụ lục II ban hành kèm theo Nghị định số .../2023/NĐ-CP ngày .../.../2023 của Chính phủ quy định về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Chúng tôi xin đảm bảo những thông tin trên là đúng sự thực.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br/>
              <w:t>Người lập biểu</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và ghi rõ họ tên)</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 tháng ... năm ...</w:t>
            </w:r>
            <w:r w:rsidRPr="00F1032B">
              <w:rPr>
                <w:rFonts w:ascii="Times New Roman" w:eastAsia="Times New Roman" w:hAnsi="Times New Roman" w:cs="Times New Roman"/>
                <w:i/>
                <w:iCs/>
                <w:color w:val="000000"/>
                <w:sz w:val="26"/>
                <w:szCs w:val="26"/>
              </w:rPr>
              <w:br/>
            </w:r>
            <w:r w:rsidRPr="00F1032B">
              <w:rPr>
                <w:rFonts w:ascii="Times New Roman" w:eastAsia="Times New Roman" w:hAnsi="Times New Roman" w:cs="Times New Roman"/>
                <w:b/>
                <w:bCs/>
                <w:color w:val="000000"/>
                <w:sz w:val="26"/>
                <w:szCs w:val="26"/>
              </w:rPr>
              <w:t>Người đại diện theo pháp luật</w:t>
            </w:r>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(Ký và đóng dấu)</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right"/>
        <w:rPr>
          <w:rFonts w:ascii="Times New Roman" w:eastAsia="Times New Roman" w:hAnsi="Times New Roman" w:cs="Times New Roman"/>
          <w:color w:val="000000"/>
          <w:sz w:val="26"/>
          <w:szCs w:val="26"/>
        </w:rPr>
      </w:pPr>
      <w:bookmarkStart w:id="212" w:name="chuong_pl_10_3"/>
      <w:r w:rsidRPr="00F1032B">
        <w:rPr>
          <w:rFonts w:ascii="Times New Roman" w:eastAsia="Times New Roman" w:hAnsi="Times New Roman" w:cs="Times New Roman"/>
          <w:b/>
          <w:bCs/>
          <w:color w:val="000000"/>
          <w:sz w:val="26"/>
          <w:szCs w:val="26"/>
        </w:rPr>
        <w:t>Mẫu số 3</w:t>
      </w:r>
      <w:bookmarkEnd w:id="212"/>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13" w:name="chuong_pl_10_3_name"/>
      <w:r w:rsidRPr="00F1032B">
        <w:rPr>
          <w:rFonts w:ascii="Times New Roman" w:eastAsia="Times New Roman" w:hAnsi="Times New Roman" w:cs="Times New Roman"/>
          <w:b/>
          <w:bCs/>
          <w:color w:val="000000"/>
          <w:sz w:val="26"/>
          <w:szCs w:val="26"/>
        </w:rPr>
        <w:t>BÁO CÁO DOANH THU, BỒI THƯỜNG BẢO HIỂM BẮT BUỘC</w:t>
      </w:r>
      <w:bookmarkEnd w:id="213"/>
      <w:r w:rsidRPr="00F1032B">
        <w:rPr>
          <w:rFonts w:ascii="Times New Roman" w:eastAsia="Times New Roman" w:hAnsi="Times New Roman" w:cs="Times New Roman"/>
          <w:b/>
          <w:bCs/>
          <w:color w:val="000000"/>
          <w:sz w:val="26"/>
          <w:szCs w:val="26"/>
        </w:rPr>
        <w:br/>
      </w:r>
      <w:bookmarkStart w:id="214" w:name="chuong_pl_10_3_name_name"/>
      <w:r w:rsidRPr="00F1032B">
        <w:rPr>
          <w:rFonts w:ascii="Times New Roman" w:eastAsia="Times New Roman" w:hAnsi="Times New Roman" w:cs="Times New Roman"/>
          <w:b/>
          <w:bCs/>
          <w:color w:val="000000"/>
          <w:sz w:val="26"/>
          <w:szCs w:val="26"/>
        </w:rPr>
        <w:t>CÔNG TRÌNH TRONG HOẠT ĐỘNG ĐẦU TƯ XÂY DỰNG</w:t>
      </w:r>
      <w:bookmarkEnd w:id="214"/>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Tên doanh nghiệp bảo hiểm: ...</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Kỳ báo cáo: Năm ...</w:t>
      </w:r>
    </w:p>
    <w:tbl>
      <w:tblPr>
        <w:tblW w:w="5000" w:type="pct"/>
        <w:tblCellSpacing w:w="0" w:type="dxa"/>
        <w:shd w:val="clear" w:color="auto" w:fill="FFFFFF"/>
        <w:tblCellMar>
          <w:left w:w="0" w:type="dxa"/>
          <w:right w:w="0" w:type="dxa"/>
        </w:tblCellMar>
        <w:tblLook w:val="04A0"/>
      </w:tblPr>
      <w:tblGrid>
        <w:gridCol w:w="582"/>
        <w:gridCol w:w="2132"/>
        <w:gridCol w:w="872"/>
        <w:gridCol w:w="679"/>
        <w:gridCol w:w="1066"/>
        <w:gridCol w:w="968"/>
        <w:gridCol w:w="1357"/>
        <w:gridCol w:w="872"/>
        <w:gridCol w:w="872"/>
      </w:tblGrid>
      <w:tr w:rsidR="00F1032B" w:rsidRPr="00F1032B" w:rsidTr="00F1032B">
        <w:trPr>
          <w:tblCellSpacing w:w="0" w:type="dxa"/>
        </w:trPr>
        <w:tc>
          <w:tcPr>
            <w:tcW w:w="300"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10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xây dựng được bảo hiểm (*)</w:t>
            </w:r>
          </w:p>
        </w:tc>
        <w:tc>
          <w:tcPr>
            <w:tcW w:w="4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lượng công trình</w:t>
            </w:r>
          </w:p>
        </w:tc>
        <w:tc>
          <w:tcPr>
            <w:tcW w:w="900" w:type="pct"/>
            <w:gridSpan w:val="2"/>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c>
          <w:tcPr>
            <w:tcW w:w="1200" w:type="pct"/>
            <w:gridSpan w:val="2"/>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c>
          <w:tcPr>
            <w:tcW w:w="4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vụ tổn thất</w:t>
            </w:r>
          </w:p>
        </w:tc>
        <w:tc>
          <w:tcPr>
            <w:tcW w:w="450" w:type="pct"/>
            <w:vMerge w:val="restar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Tổng số tiền bảo hiểm</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(triệu đồng)</w:t>
            </w:r>
          </w:p>
        </w:tc>
      </w:tr>
      <w:tr w:rsidR="00F1032B" w:rsidRPr="00F1032B" w:rsidTr="00F1032B">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gốc</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Phí bảo hiểm giữ lại</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 gốc</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Bồi thường bảo hiểm thuộc trách nhiệm giữ lại</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after="0" w:line="240" w:lineRule="auto"/>
              <w:rPr>
                <w:rFonts w:ascii="Times New Roman" w:eastAsia="Times New Roman" w:hAnsi="Times New Roman" w:cs="Times New Roman"/>
                <w:color w:val="000000"/>
                <w:sz w:val="26"/>
                <w:szCs w:val="26"/>
              </w:rPr>
            </w:pP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DÂN DỤNG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1.1</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Nhà ở</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1.2</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công cộng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II</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CÔNG TRÌNH CÔNG NGHIỆP</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2.1</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Công trình sản xuất vật liệu, sản phẩm xây dựng cấp III trở lên</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2.2</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3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w:t>
            </w:r>
          </w:p>
        </w:tc>
        <w:tc>
          <w:tcPr>
            <w:tcW w:w="10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1400" w:type="pct"/>
            <w:gridSpan w:val="2"/>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Tổng cộng</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3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5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7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c>
          <w:tcPr>
            <w:tcW w:w="4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Doanh nghiệp bảo hiểm báo cáo chi tiết theo loại công trình xây dựng nêu tại Phụ lục III ban hành kèm theo Nghị định số .../2023/NĐ-CP ngày .../.../2023 của Chính phủ quy định về bảo hiểm bắt buộc trách nhiệm dân sự của chủ xe cơ giới, bảo hiểm cháy, nổ bắt buộc, bảo hiểm bắt buộc trong hoạt động đầu tư xây dựng.</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Chúng tôi xin đảm bảo những thông tin trên là đúng sự thực.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br/>
              <w:t>Người lập biểu</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và ghi rõ họ tên)</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 tháng ... năm ...</w:t>
            </w:r>
            <w:r w:rsidRPr="00F1032B">
              <w:rPr>
                <w:rFonts w:ascii="Times New Roman" w:eastAsia="Times New Roman" w:hAnsi="Times New Roman" w:cs="Times New Roman"/>
                <w:i/>
                <w:iCs/>
                <w:color w:val="000000"/>
                <w:sz w:val="26"/>
                <w:szCs w:val="26"/>
              </w:rPr>
              <w:br/>
            </w:r>
            <w:r w:rsidRPr="00F1032B">
              <w:rPr>
                <w:rFonts w:ascii="Times New Roman" w:eastAsia="Times New Roman" w:hAnsi="Times New Roman" w:cs="Times New Roman"/>
                <w:b/>
                <w:bCs/>
                <w:color w:val="000000"/>
                <w:sz w:val="26"/>
                <w:szCs w:val="26"/>
              </w:rPr>
              <w:t>Người đại diện theo pháp luật</w:t>
            </w:r>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(Ký và đóng dấu)</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p w:rsidR="00F1032B" w:rsidRPr="00F1032B" w:rsidRDefault="00F1032B" w:rsidP="00F1032B">
      <w:pPr>
        <w:shd w:val="clear" w:color="auto" w:fill="FFFFFF"/>
        <w:spacing w:after="0" w:line="234" w:lineRule="atLeast"/>
        <w:jc w:val="right"/>
        <w:rPr>
          <w:rFonts w:ascii="Times New Roman" w:eastAsia="Times New Roman" w:hAnsi="Times New Roman" w:cs="Times New Roman"/>
          <w:color w:val="000000"/>
          <w:sz w:val="26"/>
          <w:szCs w:val="26"/>
        </w:rPr>
      </w:pPr>
      <w:bookmarkStart w:id="215" w:name="chuong_pl_10_4"/>
      <w:r w:rsidRPr="00F1032B">
        <w:rPr>
          <w:rFonts w:ascii="Times New Roman" w:eastAsia="Times New Roman" w:hAnsi="Times New Roman" w:cs="Times New Roman"/>
          <w:b/>
          <w:bCs/>
          <w:color w:val="000000"/>
          <w:sz w:val="26"/>
          <w:szCs w:val="26"/>
        </w:rPr>
        <w:t>Mẫu số 4</w:t>
      </w:r>
      <w:bookmarkEnd w:id="215"/>
    </w:p>
    <w:p w:rsidR="00F1032B" w:rsidRPr="00F1032B" w:rsidRDefault="00F1032B" w:rsidP="00F1032B">
      <w:pPr>
        <w:shd w:val="clear" w:color="auto" w:fill="FFFFFF"/>
        <w:spacing w:after="0" w:line="234" w:lineRule="atLeast"/>
        <w:jc w:val="center"/>
        <w:rPr>
          <w:rFonts w:ascii="Times New Roman" w:eastAsia="Times New Roman" w:hAnsi="Times New Roman" w:cs="Times New Roman"/>
          <w:color w:val="000000"/>
          <w:sz w:val="26"/>
          <w:szCs w:val="26"/>
        </w:rPr>
      </w:pPr>
      <w:bookmarkStart w:id="216" w:name="chuong_pl_10_4_name"/>
      <w:r w:rsidRPr="00F1032B">
        <w:rPr>
          <w:rFonts w:ascii="Times New Roman" w:eastAsia="Times New Roman" w:hAnsi="Times New Roman" w:cs="Times New Roman"/>
          <w:b/>
          <w:bCs/>
          <w:color w:val="000000"/>
          <w:sz w:val="26"/>
          <w:szCs w:val="26"/>
        </w:rPr>
        <w:t>BÁO CÁO TÌNH HÌNH THU, NỘP</w:t>
      </w:r>
      <w:bookmarkEnd w:id="216"/>
      <w:r w:rsidRPr="00F1032B">
        <w:rPr>
          <w:rFonts w:ascii="Times New Roman" w:eastAsia="Times New Roman" w:hAnsi="Times New Roman" w:cs="Times New Roman"/>
          <w:b/>
          <w:bCs/>
          <w:color w:val="000000"/>
          <w:sz w:val="26"/>
          <w:szCs w:val="26"/>
        </w:rPr>
        <w:br/>
      </w:r>
      <w:bookmarkStart w:id="217" w:name="chuong_pl_10_4_name_name"/>
      <w:r w:rsidRPr="00F1032B">
        <w:rPr>
          <w:rFonts w:ascii="Times New Roman" w:eastAsia="Times New Roman" w:hAnsi="Times New Roman" w:cs="Times New Roman"/>
          <w:b/>
          <w:bCs/>
          <w:color w:val="000000"/>
          <w:sz w:val="26"/>
          <w:szCs w:val="26"/>
        </w:rPr>
        <w:t>TỪ BẢO HIỂM CHÁY, NỔ BẮT BUỘC</w:t>
      </w:r>
      <w:bookmarkEnd w:id="217"/>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Tên doanh nghiệp bảo hiểm: ...</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Kỳ báo cáo: 6 tháng đầu năm..../năm...</w:t>
      </w:r>
    </w:p>
    <w:tbl>
      <w:tblPr>
        <w:tblW w:w="5000" w:type="pct"/>
        <w:tblCellSpacing w:w="0" w:type="dxa"/>
        <w:shd w:val="clear" w:color="auto" w:fill="FFFFFF"/>
        <w:tblCellMar>
          <w:left w:w="0" w:type="dxa"/>
          <w:right w:w="0" w:type="dxa"/>
        </w:tblCellMar>
        <w:tblLook w:val="04A0"/>
      </w:tblPr>
      <w:tblGrid>
        <w:gridCol w:w="759"/>
        <w:gridCol w:w="6836"/>
        <w:gridCol w:w="1805"/>
      </w:tblGrid>
      <w:tr w:rsidR="00F1032B" w:rsidRPr="00F1032B" w:rsidTr="00F1032B">
        <w:trPr>
          <w:tblCellSpacing w:w="0" w:type="dxa"/>
        </w:trPr>
        <w:tc>
          <w:tcPr>
            <w:tcW w:w="40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STT</w:t>
            </w:r>
          </w:p>
        </w:tc>
        <w:tc>
          <w:tcPr>
            <w:tcW w:w="360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Chỉ tiêu báo cáo</w:t>
            </w:r>
          </w:p>
        </w:tc>
        <w:tc>
          <w:tcPr>
            <w:tcW w:w="950" w:type="pct"/>
            <w:tcBorders>
              <w:top w:val="single" w:sz="8" w:space="0" w:color="auto"/>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t>Số tiền (đồng)</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1</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Tổng số phí bảo hiểm cháy, nổ bắt buộc thực tế thu được của các hợp đồng bảo hiểm gốc trong năm tài chính trước liền kề</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2</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phải nộp từ bảo hiểm cháy, nổ bắt buộc trong năm tài chính</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3</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đã nộp 6 tháng đầu năm</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lastRenderedPageBreak/>
              <w:t>4</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đã nộp 6 tháng cuối năm</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5</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đã nộp cả năm</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r w:rsidR="00F1032B" w:rsidRPr="00F1032B" w:rsidTr="00F1032B">
        <w:trPr>
          <w:tblCellSpacing w:w="0" w:type="dxa"/>
        </w:trPr>
        <w:tc>
          <w:tcPr>
            <w:tcW w:w="400" w:type="pct"/>
            <w:tcBorders>
              <w:top w:val="nil"/>
              <w:left w:val="single" w:sz="8" w:space="0" w:color="auto"/>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6</w:t>
            </w:r>
          </w:p>
        </w:tc>
        <w:tc>
          <w:tcPr>
            <w:tcW w:w="360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Số tiền còn phải nộp trong năm tài chính</w:t>
            </w:r>
          </w:p>
        </w:tc>
        <w:tc>
          <w:tcPr>
            <w:tcW w:w="950" w:type="pct"/>
            <w:tcBorders>
              <w:top w:val="nil"/>
              <w:left w:val="nil"/>
              <w:bottom w:val="single" w:sz="8" w:space="0" w:color="auto"/>
              <w:right w:val="single" w:sz="8" w:space="0" w:color="auto"/>
            </w:tcBorders>
            <w:shd w:val="clear" w:color="auto" w:fill="FFFFFF"/>
            <w:vAlign w:val="cente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c>
      </w:tr>
    </w:tbl>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Chúng tôi xin đảm bảo những thông tin trên là đúng sự thực.</w:t>
      </w:r>
    </w:p>
    <w:p w:rsidR="00F1032B" w:rsidRPr="00F1032B" w:rsidRDefault="00F1032B" w:rsidP="00F1032B">
      <w:pPr>
        <w:shd w:val="clear" w:color="auto" w:fill="FFFFFF"/>
        <w:spacing w:before="120" w:after="120" w:line="234" w:lineRule="atLeast"/>
        <w:rPr>
          <w:rFonts w:ascii="Times New Roman" w:eastAsia="Times New Roman" w:hAnsi="Times New Roman" w:cs="Times New Roman"/>
          <w:color w:val="000000"/>
          <w:sz w:val="26"/>
          <w:szCs w:val="26"/>
        </w:rPr>
      </w:pPr>
      <w:r w:rsidRPr="00F1032B">
        <w:rPr>
          <w:rFonts w:ascii="Times New Roman" w:eastAsia="Times New Roman" w:hAnsi="Times New Roman" w:cs="Times New Roman"/>
          <w:color w:val="000000"/>
          <w:sz w:val="26"/>
          <w:szCs w:val="26"/>
        </w:rPr>
        <w:t> </w:t>
      </w:r>
    </w:p>
    <w:tbl>
      <w:tblPr>
        <w:tblW w:w="0" w:type="auto"/>
        <w:tblCellSpacing w:w="0" w:type="dxa"/>
        <w:shd w:val="clear" w:color="auto" w:fill="FFFFFF"/>
        <w:tblCellMar>
          <w:left w:w="0" w:type="dxa"/>
          <w:right w:w="0" w:type="dxa"/>
        </w:tblCellMar>
        <w:tblLook w:val="04A0"/>
      </w:tblPr>
      <w:tblGrid>
        <w:gridCol w:w="4428"/>
        <w:gridCol w:w="4428"/>
      </w:tblGrid>
      <w:tr w:rsidR="00F1032B" w:rsidRPr="00F1032B" w:rsidTr="00F1032B">
        <w:trPr>
          <w:tblCellSpacing w:w="0" w:type="dxa"/>
        </w:trPr>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b/>
                <w:bCs/>
                <w:color w:val="000000"/>
                <w:sz w:val="26"/>
                <w:szCs w:val="26"/>
              </w:rPr>
              <w:br/>
              <w:t>Người lập biểu</w:t>
            </w:r>
            <w:r w:rsidRPr="00F1032B">
              <w:rPr>
                <w:rFonts w:ascii="Times New Roman" w:eastAsia="Times New Roman" w:hAnsi="Times New Roman" w:cs="Times New Roman"/>
                <w:b/>
                <w:bCs/>
                <w:color w:val="000000"/>
                <w:sz w:val="26"/>
                <w:szCs w:val="26"/>
              </w:rPr>
              <w:br/>
            </w:r>
            <w:r w:rsidRPr="00F1032B">
              <w:rPr>
                <w:rFonts w:ascii="Times New Roman" w:eastAsia="Times New Roman" w:hAnsi="Times New Roman" w:cs="Times New Roman"/>
                <w:i/>
                <w:iCs/>
                <w:color w:val="000000"/>
                <w:sz w:val="26"/>
                <w:szCs w:val="26"/>
              </w:rPr>
              <w:t>(Ký và ghi rõ họ tên)</w:t>
            </w:r>
          </w:p>
        </w:tc>
        <w:tc>
          <w:tcPr>
            <w:tcW w:w="4428" w:type="dxa"/>
            <w:shd w:val="clear" w:color="auto" w:fill="FFFFFF"/>
            <w:tcMar>
              <w:top w:w="0" w:type="dxa"/>
              <w:left w:w="108" w:type="dxa"/>
              <w:bottom w:w="0" w:type="dxa"/>
              <w:right w:w="108" w:type="dxa"/>
            </w:tcMar>
            <w:hideMark/>
          </w:tcPr>
          <w:p w:rsidR="00F1032B" w:rsidRPr="00F1032B" w:rsidRDefault="00F1032B" w:rsidP="00F1032B">
            <w:pPr>
              <w:spacing w:before="120" w:after="120" w:line="234" w:lineRule="atLeast"/>
              <w:jc w:val="center"/>
              <w:rPr>
                <w:rFonts w:ascii="Times New Roman" w:eastAsia="Times New Roman" w:hAnsi="Times New Roman" w:cs="Times New Roman"/>
                <w:color w:val="000000"/>
                <w:sz w:val="26"/>
                <w:szCs w:val="26"/>
              </w:rPr>
            </w:pPr>
            <w:r w:rsidRPr="00F1032B">
              <w:rPr>
                <w:rFonts w:ascii="Times New Roman" w:eastAsia="Times New Roman" w:hAnsi="Times New Roman" w:cs="Times New Roman"/>
                <w:i/>
                <w:iCs/>
                <w:color w:val="000000"/>
                <w:sz w:val="26"/>
                <w:szCs w:val="26"/>
              </w:rPr>
              <w:t>..., ngày ... tháng ... năm ...</w:t>
            </w:r>
            <w:r w:rsidRPr="00F1032B">
              <w:rPr>
                <w:rFonts w:ascii="Times New Roman" w:eastAsia="Times New Roman" w:hAnsi="Times New Roman" w:cs="Times New Roman"/>
                <w:i/>
                <w:iCs/>
                <w:color w:val="000000"/>
                <w:sz w:val="26"/>
                <w:szCs w:val="26"/>
              </w:rPr>
              <w:br/>
            </w:r>
            <w:r w:rsidRPr="00F1032B">
              <w:rPr>
                <w:rFonts w:ascii="Times New Roman" w:eastAsia="Times New Roman" w:hAnsi="Times New Roman" w:cs="Times New Roman"/>
                <w:b/>
                <w:bCs/>
                <w:color w:val="000000"/>
                <w:sz w:val="26"/>
                <w:szCs w:val="26"/>
              </w:rPr>
              <w:t>Người đại diện theo pháp luật</w:t>
            </w:r>
            <w:r w:rsidRPr="00F1032B">
              <w:rPr>
                <w:rFonts w:ascii="Times New Roman" w:eastAsia="Times New Roman" w:hAnsi="Times New Roman" w:cs="Times New Roman"/>
                <w:color w:val="000000"/>
                <w:sz w:val="26"/>
                <w:szCs w:val="26"/>
              </w:rPr>
              <w:br/>
            </w:r>
            <w:r w:rsidRPr="00F1032B">
              <w:rPr>
                <w:rFonts w:ascii="Times New Roman" w:eastAsia="Times New Roman" w:hAnsi="Times New Roman" w:cs="Times New Roman"/>
                <w:i/>
                <w:iCs/>
                <w:color w:val="000000"/>
                <w:sz w:val="26"/>
                <w:szCs w:val="26"/>
              </w:rPr>
              <w:t>(Ký và đóng dấu)</w:t>
            </w:r>
          </w:p>
        </w:tc>
      </w:tr>
    </w:tbl>
    <w:p w:rsidR="00F1032B" w:rsidRPr="00F1032B" w:rsidRDefault="00F1032B">
      <w:pPr>
        <w:rPr>
          <w:rFonts w:ascii="Times New Roman" w:hAnsi="Times New Roman" w:cs="Times New Roman"/>
          <w:sz w:val="26"/>
          <w:szCs w:val="26"/>
        </w:rPr>
      </w:pPr>
    </w:p>
    <w:sectPr w:rsidR="00F1032B" w:rsidRPr="00F1032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F1032B"/>
    <w:rsid w:val="00D141E7"/>
    <w:rsid w:val="00F103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231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40104</Words>
  <Characters>228596</Characters>
  <Application>Microsoft Office Word</Application>
  <DocSecurity>0</DocSecurity>
  <Lines>1904</Lines>
  <Paragraphs>536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2023-09-11T07:02:00Z</dcterms:created>
  <dcterms:modified xsi:type="dcterms:W3CDTF">2023-09-11T07:26:00Z</dcterms:modified>
</cp:coreProperties>
</file>